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7D64" w14:textId="5E41A2E3" w:rsidR="00BA0338" w:rsidRPr="008A3A38" w:rsidRDefault="00000000" w:rsidP="008A3A38">
      <w:pPr>
        <w:spacing w:line="240" w:lineRule="auto"/>
        <w:jc w:val="center"/>
        <w:rPr>
          <w:rFonts w:ascii="Britannic Bold" w:hAnsi="Britannic Bold"/>
          <w:color w:val="ED7D31" w:themeColor="accent2"/>
          <w:sz w:val="60"/>
          <w:szCs w:val="60"/>
        </w:rPr>
      </w:pPr>
      <w:r w:rsidRPr="008A3A38">
        <w:rPr>
          <w:rFonts w:ascii="Britannic Bold" w:hAnsi="Britannic Bold"/>
          <w:color w:val="ED7D31" w:themeColor="accent2"/>
          <w:sz w:val="60"/>
          <w:szCs w:val="60"/>
        </w:rPr>
        <w:t>ER100</w:t>
      </w:r>
    </w:p>
    <w:p w14:paraId="13F22326" w14:textId="40AD9533" w:rsidR="00BA0338" w:rsidRPr="008A3A38" w:rsidRDefault="00000000" w:rsidP="008A3A38">
      <w:pPr>
        <w:spacing w:line="240" w:lineRule="auto"/>
        <w:jc w:val="center"/>
        <w:rPr>
          <w:rFonts w:ascii="Aptos" w:hAnsi="Aptos"/>
          <w:sz w:val="28"/>
          <w:szCs w:val="28"/>
        </w:rPr>
      </w:pPr>
      <w:r w:rsidRPr="008A3A38">
        <w:rPr>
          <w:rFonts w:ascii="Aptos" w:eastAsia="Cambria" w:hAnsi="Aptos" w:cs="Cambria"/>
          <w:sz w:val="28"/>
          <w:szCs w:val="28"/>
        </w:rPr>
        <w:t xml:space="preserve">FAST CURING </w:t>
      </w:r>
      <w:r w:rsidR="008A3A38" w:rsidRPr="008A3A38">
        <w:rPr>
          <w:rFonts w:ascii="Aptos" w:eastAsia="Cambria" w:hAnsi="Aptos" w:cs="Cambria"/>
          <w:sz w:val="28"/>
          <w:szCs w:val="28"/>
        </w:rPr>
        <w:t>PRE-BLENDED</w:t>
      </w:r>
      <w:r w:rsidRPr="008A3A38">
        <w:rPr>
          <w:rFonts w:ascii="Aptos" w:eastAsia="Cambria" w:hAnsi="Aptos" w:cs="Cambria"/>
          <w:sz w:val="28"/>
          <w:szCs w:val="28"/>
        </w:rPr>
        <w:t xml:space="preserve"> POLYMER MODIFIED CEMENT BASED RENDER</w:t>
      </w:r>
    </w:p>
    <w:p w14:paraId="4B3B16A9" w14:textId="77777777" w:rsidR="00BA0338" w:rsidRDefault="00000000" w:rsidP="008A3A38">
      <w:pPr>
        <w:spacing w:line="240" w:lineRule="auto"/>
        <w:jc w:val="both"/>
        <w:rPr>
          <w:rFonts w:ascii="Aptos" w:eastAsia="Times New Roman" w:hAnsi="Aptos" w:cs="Times New Roman"/>
          <w:szCs w:val="20"/>
        </w:rPr>
      </w:pPr>
      <w:r w:rsidRPr="008A3A38">
        <w:rPr>
          <w:rFonts w:ascii="Aptos" w:eastAsia="Times New Roman" w:hAnsi="Aptos" w:cs="Times New Roman"/>
          <w:szCs w:val="20"/>
        </w:rPr>
        <w:t xml:space="preserve"> </w:t>
      </w:r>
    </w:p>
    <w:p w14:paraId="4B092816" w14:textId="77777777" w:rsidR="008A3A38" w:rsidRDefault="008A3A38" w:rsidP="008A3A38">
      <w:pPr>
        <w:spacing w:line="240" w:lineRule="auto"/>
        <w:jc w:val="both"/>
        <w:rPr>
          <w:rFonts w:ascii="Aptos" w:eastAsia="Times New Roman" w:hAnsi="Aptos" w:cs="Times New Roman"/>
          <w:szCs w:val="20"/>
        </w:rPr>
      </w:pPr>
    </w:p>
    <w:p w14:paraId="4612848A" w14:textId="1F81E165" w:rsidR="008A3A38" w:rsidRPr="008A3A38" w:rsidRDefault="008A3A38" w:rsidP="008A3A38">
      <w:pPr>
        <w:spacing w:line="240" w:lineRule="auto"/>
        <w:jc w:val="both"/>
        <w:rPr>
          <w:rFonts w:ascii="Aptos" w:hAnsi="Aptos"/>
          <w:szCs w:val="20"/>
        </w:rPr>
      </w:pPr>
      <w:r w:rsidRPr="008A3A38">
        <w:rPr>
          <w:rFonts w:ascii="Aptos" w:hAnsi="Aptos"/>
          <w:noProof/>
          <w:szCs w:val="20"/>
        </w:rPr>
        <w:drawing>
          <wp:anchor distT="0" distB="0" distL="114300" distR="114300" simplePos="0" relativeHeight="251658240" behindDoc="0" locked="0" layoutInCell="1" allowOverlap="0" wp14:anchorId="37D5D352" wp14:editId="54B0A1DA">
            <wp:simplePos x="0" y="0"/>
            <wp:positionH relativeFrom="margin">
              <wp:align>left</wp:align>
            </wp:positionH>
            <wp:positionV relativeFrom="paragraph">
              <wp:posOffset>5080</wp:posOffset>
            </wp:positionV>
            <wp:extent cx="785482" cy="7437120"/>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785482" cy="7437120"/>
                    </a:xfrm>
                    <a:prstGeom prst="rect">
                      <a:avLst/>
                    </a:prstGeom>
                  </pic:spPr>
                </pic:pic>
              </a:graphicData>
            </a:graphic>
          </wp:anchor>
        </w:drawing>
      </w:r>
    </w:p>
    <w:p w14:paraId="5B88474E" w14:textId="77777777" w:rsidR="008A3A38" w:rsidRDefault="008A3A38" w:rsidP="008A3A38">
      <w:pPr>
        <w:spacing w:line="240" w:lineRule="auto"/>
        <w:jc w:val="both"/>
        <w:rPr>
          <w:rFonts w:ascii="Aptos" w:hAnsi="Aptos"/>
          <w:sz w:val="28"/>
          <w:szCs w:val="28"/>
        </w:rPr>
      </w:pPr>
    </w:p>
    <w:p w14:paraId="34E13187" w14:textId="3953B660"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TECHNICAL DATA SHEET </w:t>
      </w:r>
    </w:p>
    <w:p w14:paraId="3E35E39B" w14:textId="77777777" w:rsidR="00BA0338" w:rsidRPr="008A3A38" w:rsidRDefault="00000000" w:rsidP="008A3A38">
      <w:pPr>
        <w:spacing w:line="240" w:lineRule="auto"/>
        <w:jc w:val="both"/>
        <w:rPr>
          <w:rFonts w:ascii="Aptos" w:hAnsi="Aptos"/>
          <w:sz w:val="28"/>
          <w:szCs w:val="28"/>
        </w:rPr>
      </w:pPr>
      <w:r w:rsidRPr="008A3A38">
        <w:rPr>
          <w:rFonts w:ascii="Aptos" w:eastAsia="Cambria" w:hAnsi="Aptos" w:cs="Cambria"/>
          <w:sz w:val="28"/>
          <w:szCs w:val="28"/>
        </w:rPr>
        <w:t xml:space="preserve"> </w:t>
      </w:r>
    </w:p>
    <w:p w14:paraId="346989CD"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ER 100 is a multipurpose, acrylic render that boasts superior strength. </w:t>
      </w:r>
    </w:p>
    <w:p w14:paraId="4FD844CE"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 </w:t>
      </w:r>
    </w:p>
    <w:p w14:paraId="36D469AE" w14:textId="13994CF2"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ER 100 unique formulation allows it to be applied up to 10mm with no sagging or cracking. ER 100 can be used by using a hawk and trowel over a variety of surfaces including AAC blocks, AFS, brickwork, fibre cement sheeting, concrete and polystyrene board (contact your nearest Novatex office for correct application). </w:t>
      </w:r>
    </w:p>
    <w:p w14:paraId="0DE6FFB2" w14:textId="7B298CCB" w:rsidR="00BA0338" w:rsidRDefault="008A3A38" w:rsidP="008A3A38">
      <w:pPr>
        <w:spacing w:line="240" w:lineRule="auto"/>
        <w:jc w:val="both"/>
        <w:rPr>
          <w:rFonts w:ascii="Aptos" w:hAnsi="Aptos"/>
          <w:sz w:val="28"/>
          <w:szCs w:val="28"/>
        </w:rPr>
      </w:pPr>
      <w:r>
        <w:rPr>
          <w:rFonts w:ascii="Aptos" w:eastAsia="Times New Roman" w:hAnsi="Aptos" w:cs="Times New Roman"/>
          <w:noProof/>
          <w:szCs w:val="20"/>
        </w:rPr>
        <w:drawing>
          <wp:anchor distT="0" distB="0" distL="114300" distR="114300" simplePos="0" relativeHeight="251667456" behindDoc="0" locked="0" layoutInCell="1" allowOverlap="1" wp14:anchorId="428D1628" wp14:editId="6E9A1AC2">
            <wp:simplePos x="0" y="0"/>
            <wp:positionH relativeFrom="margin">
              <wp:posOffset>4488815</wp:posOffset>
            </wp:positionH>
            <wp:positionV relativeFrom="paragraph">
              <wp:posOffset>10795</wp:posOffset>
            </wp:positionV>
            <wp:extent cx="2292985" cy="2009775"/>
            <wp:effectExtent l="0" t="0" r="0" b="9525"/>
            <wp:wrapSquare wrapText="bothSides"/>
            <wp:docPr id="1547652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95" t="13989" r="10941" b="16482"/>
                    <a:stretch/>
                  </pic:blipFill>
                  <pic:spPr bwMode="auto">
                    <a:xfrm>
                      <a:off x="0" y="0"/>
                      <a:ext cx="229298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8A3A38">
        <w:rPr>
          <w:rFonts w:ascii="Aptos" w:hAnsi="Aptos"/>
          <w:sz w:val="28"/>
          <w:szCs w:val="28"/>
        </w:rPr>
        <w:t xml:space="preserve"> </w:t>
      </w:r>
    </w:p>
    <w:p w14:paraId="3EB1B429" w14:textId="77777777" w:rsidR="008A3A38" w:rsidRDefault="008A3A38" w:rsidP="008A3A38">
      <w:pPr>
        <w:spacing w:line="240" w:lineRule="auto"/>
        <w:jc w:val="both"/>
        <w:rPr>
          <w:rFonts w:ascii="Aptos" w:hAnsi="Aptos"/>
          <w:sz w:val="28"/>
          <w:szCs w:val="28"/>
        </w:rPr>
      </w:pPr>
    </w:p>
    <w:p w14:paraId="7B55AAA5" w14:textId="77777777" w:rsidR="008A3A38" w:rsidRPr="008A3A38" w:rsidRDefault="008A3A38" w:rsidP="008A3A38">
      <w:pPr>
        <w:spacing w:line="240" w:lineRule="auto"/>
        <w:jc w:val="both"/>
        <w:rPr>
          <w:rFonts w:ascii="Aptos" w:hAnsi="Aptos"/>
          <w:sz w:val="28"/>
          <w:szCs w:val="28"/>
        </w:rPr>
      </w:pPr>
    </w:p>
    <w:p w14:paraId="477036B1" w14:textId="77777777" w:rsidR="008A3A38" w:rsidRDefault="00000000" w:rsidP="008A3A38">
      <w:pPr>
        <w:pStyle w:val="ListParagraph"/>
        <w:numPr>
          <w:ilvl w:val="0"/>
          <w:numId w:val="2"/>
        </w:numPr>
        <w:spacing w:line="240" w:lineRule="auto"/>
        <w:jc w:val="both"/>
        <w:rPr>
          <w:rFonts w:ascii="Aptos" w:hAnsi="Aptos"/>
          <w:sz w:val="28"/>
          <w:szCs w:val="28"/>
        </w:rPr>
      </w:pPr>
      <w:r w:rsidRPr="008A3A38">
        <w:rPr>
          <w:rFonts w:ascii="Aptos" w:hAnsi="Aptos"/>
          <w:sz w:val="28"/>
          <w:szCs w:val="28"/>
        </w:rPr>
        <w:t>Acrylic modified</w:t>
      </w:r>
      <w:r w:rsidR="008A3A38">
        <w:rPr>
          <w:rFonts w:ascii="Aptos" w:hAnsi="Aptos"/>
          <w:sz w:val="28"/>
          <w:szCs w:val="28"/>
        </w:rPr>
        <w:t>.</w:t>
      </w:r>
    </w:p>
    <w:p w14:paraId="4CBA671A" w14:textId="77777777" w:rsidR="008A3A38" w:rsidRDefault="00000000" w:rsidP="008A3A38">
      <w:pPr>
        <w:pStyle w:val="ListParagraph"/>
        <w:numPr>
          <w:ilvl w:val="0"/>
          <w:numId w:val="2"/>
        </w:numPr>
        <w:spacing w:line="240" w:lineRule="auto"/>
        <w:jc w:val="both"/>
        <w:rPr>
          <w:rFonts w:ascii="Aptos" w:hAnsi="Aptos"/>
          <w:sz w:val="28"/>
          <w:szCs w:val="28"/>
        </w:rPr>
      </w:pPr>
      <w:r w:rsidRPr="008A3A38">
        <w:rPr>
          <w:rFonts w:ascii="Aptos" w:hAnsi="Aptos"/>
          <w:sz w:val="28"/>
          <w:szCs w:val="28"/>
        </w:rPr>
        <w:t>Superior setting strength</w:t>
      </w:r>
    </w:p>
    <w:p w14:paraId="383C2C95" w14:textId="744F9879" w:rsidR="008A3A38" w:rsidRDefault="00000000" w:rsidP="008A3A38">
      <w:pPr>
        <w:pStyle w:val="ListParagraph"/>
        <w:numPr>
          <w:ilvl w:val="0"/>
          <w:numId w:val="2"/>
        </w:numPr>
        <w:spacing w:line="240" w:lineRule="auto"/>
        <w:jc w:val="both"/>
        <w:rPr>
          <w:rFonts w:ascii="Aptos" w:hAnsi="Aptos"/>
          <w:sz w:val="28"/>
          <w:szCs w:val="28"/>
        </w:rPr>
      </w:pPr>
      <w:r w:rsidRPr="008A3A38">
        <w:rPr>
          <w:rFonts w:ascii="Aptos" w:hAnsi="Aptos"/>
          <w:sz w:val="28"/>
          <w:szCs w:val="28"/>
        </w:rPr>
        <w:t xml:space="preserve">Fast curing </w:t>
      </w:r>
    </w:p>
    <w:p w14:paraId="156AB2A7" w14:textId="4EEBE076" w:rsidR="008A3A38" w:rsidRDefault="00000000" w:rsidP="008A3A38">
      <w:pPr>
        <w:pStyle w:val="ListParagraph"/>
        <w:numPr>
          <w:ilvl w:val="0"/>
          <w:numId w:val="2"/>
        </w:numPr>
        <w:spacing w:line="240" w:lineRule="auto"/>
        <w:jc w:val="both"/>
        <w:rPr>
          <w:rFonts w:ascii="Aptos" w:hAnsi="Aptos"/>
          <w:sz w:val="28"/>
          <w:szCs w:val="28"/>
        </w:rPr>
      </w:pPr>
      <w:r w:rsidRPr="008A3A38">
        <w:rPr>
          <w:rFonts w:ascii="Aptos" w:hAnsi="Aptos"/>
          <w:sz w:val="28"/>
          <w:szCs w:val="28"/>
        </w:rPr>
        <w:t xml:space="preserve">Build up to 10mm in single </w:t>
      </w:r>
      <w:r w:rsidR="008A3A38" w:rsidRPr="008A3A38">
        <w:rPr>
          <w:rFonts w:ascii="Aptos" w:hAnsi="Aptos"/>
          <w:sz w:val="28"/>
          <w:szCs w:val="28"/>
        </w:rPr>
        <w:t>application.</w:t>
      </w:r>
    </w:p>
    <w:p w14:paraId="07E4FADF" w14:textId="4176054D" w:rsidR="00BA0338" w:rsidRPr="008A3A38" w:rsidRDefault="00000000" w:rsidP="008A3A38">
      <w:pPr>
        <w:pStyle w:val="ListParagraph"/>
        <w:numPr>
          <w:ilvl w:val="0"/>
          <w:numId w:val="2"/>
        </w:numPr>
        <w:spacing w:line="240" w:lineRule="auto"/>
        <w:jc w:val="both"/>
        <w:rPr>
          <w:rFonts w:ascii="Aptos" w:hAnsi="Aptos"/>
          <w:sz w:val="28"/>
          <w:szCs w:val="28"/>
        </w:rPr>
      </w:pPr>
      <w:r w:rsidRPr="008A3A38">
        <w:rPr>
          <w:rFonts w:ascii="Aptos" w:hAnsi="Aptos"/>
          <w:sz w:val="28"/>
          <w:szCs w:val="28"/>
        </w:rPr>
        <w:t xml:space="preserve">Unique PFR Technology </w:t>
      </w:r>
    </w:p>
    <w:p w14:paraId="7678FC2C" w14:textId="77777777" w:rsidR="00BA0338" w:rsidRDefault="00000000" w:rsidP="008A3A38">
      <w:pPr>
        <w:spacing w:line="240" w:lineRule="auto"/>
        <w:jc w:val="both"/>
        <w:rPr>
          <w:rFonts w:ascii="Aptos" w:eastAsia="Times New Roman" w:hAnsi="Aptos" w:cs="Times New Roman"/>
          <w:sz w:val="28"/>
          <w:szCs w:val="28"/>
        </w:rPr>
      </w:pPr>
      <w:r w:rsidRPr="008A3A38">
        <w:rPr>
          <w:rFonts w:ascii="Aptos" w:hAnsi="Aptos"/>
          <w:sz w:val="28"/>
          <w:szCs w:val="28"/>
        </w:rPr>
        <w:t xml:space="preserve"> </w:t>
      </w:r>
      <w:r w:rsidRPr="008A3A38">
        <w:rPr>
          <w:rFonts w:ascii="Aptos" w:eastAsia="Times New Roman" w:hAnsi="Aptos" w:cs="Times New Roman"/>
          <w:sz w:val="28"/>
          <w:szCs w:val="28"/>
        </w:rPr>
        <w:t xml:space="preserve"> </w:t>
      </w:r>
    </w:p>
    <w:p w14:paraId="1C803035" w14:textId="77777777" w:rsidR="008A3A38" w:rsidRDefault="008A3A38" w:rsidP="008A3A38">
      <w:pPr>
        <w:spacing w:line="240" w:lineRule="auto"/>
        <w:jc w:val="both"/>
        <w:rPr>
          <w:rFonts w:ascii="Aptos" w:eastAsia="Times New Roman" w:hAnsi="Aptos" w:cs="Times New Roman"/>
          <w:sz w:val="28"/>
          <w:szCs w:val="28"/>
        </w:rPr>
      </w:pPr>
    </w:p>
    <w:p w14:paraId="78B16C24" w14:textId="77777777" w:rsidR="008A3A38" w:rsidRDefault="008A3A38" w:rsidP="008A3A38">
      <w:pPr>
        <w:spacing w:line="240" w:lineRule="auto"/>
        <w:jc w:val="both"/>
        <w:rPr>
          <w:rFonts w:ascii="Aptos" w:eastAsia="Times New Roman" w:hAnsi="Aptos" w:cs="Times New Roman"/>
          <w:sz w:val="28"/>
          <w:szCs w:val="28"/>
        </w:rPr>
      </w:pPr>
    </w:p>
    <w:p w14:paraId="00359440" w14:textId="77777777" w:rsidR="008A3A38" w:rsidRDefault="008A3A38" w:rsidP="008A3A38">
      <w:pPr>
        <w:spacing w:line="240" w:lineRule="auto"/>
        <w:jc w:val="both"/>
        <w:rPr>
          <w:rFonts w:ascii="Aptos" w:eastAsia="Times New Roman" w:hAnsi="Aptos" w:cs="Times New Roman"/>
          <w:sz w:val="28"/>
          <w:szCs w:val="28"/>
        </w:rPr>
      </w:pPr>
    </w:p>
    <w:p w14:paraId="67505332" w14:textId="77777777" w:rsidR="008A3A38" w:rsidRPr="008A3A38" w:rsidRDefault="008A3A38" w:rsidP="008A3A38">
      <w:pPr>
        <w:spacing w:line="240" w:lineRule="auto"/>
        <w:jc w:val="both"/>
        <w:rPr>
          <w:rFonts w:ascii="Aptos" w:hAnsi="Aptos"/>
          <w:sz w:val="28"/>
          <w:szCs w:val="28"/>
        </w:rPr>
      </w:pPr>
    </w:p>
    <w:p w14:paraId="1A6F28E9" w14:textId="1B9E949B"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Superior formulation, ideal product for commercial applications e.g. shopping centres, high rise and housing developments. </w:t>
      </w:r>
    </w:p>
    <w:p w14:paraId="35812F1D"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 </w:t>
      </w:r>
    </w:p>
    <w:p w14:paraId="37F9356A"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Suitable for traditional style rendering methods. </w:t>
      </w:r>
    </w:p>
    <w:p w14:paraId="6E830117"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 </w:t>
      </w:r>
    </w:p>
    <w:p w14:paraId="32CDCA8A"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Ideal for bonding a large range of substrates including AAC blocks, AFS, brickwork, fibre cement sheeting, concrete and polystyrene board.  </w:t>
      </w:r>
    </w:p>
    <w:p w14:paraId="1BDFDB4A" w14:textId="77777777" w:rsidR="00BA03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 </w:t>
      </w:r>
    </w:p>
    <w:p w14:paraId="4FB9A118" w14:textId="461A9377" w:rsidR="008A3A38" w:rsidRPr="008A3A38" w:rsidRDefault="00000000" w:rsidP="008A3A38">
      <w:pPr>
        <w:spacing w:line="240" w:lineRule="auto"/>
        <w:jc w:val="both"/>
        <w:rPr>
          <w:rFonts w:ascii="Aptos" w:hAnsi="Aptos"/>
          <w:sz w:val="28"/>
          <w:szCs w:val="28"/>
        </w:rPr>
      </w:pPr>
      <w:r w:rsidRPr="008A3A38">
        <w:rPr>
          <w:rFonts w:ascii="Aptos" w:hAnsi="Aptos"/>
          <w:sz w:val="28"/>
          <w:szCs w:val="28"/>
        </w:rPr>
        <w:t xml:space="preserve">Low VOC content- meets Green Building Council of Australia Green </w:t>
      </w:r>
      <w:r w:rsidR="008A3A38" w:rsidRPr="008A3A38">
        <w:rPr>
          <w:rFonts w:ascii="Aptos" w:hAnsi="Aptos"/>
          <w:sz w:val="28"/>
          <w:szCs w:val="28"/>
        </w:rPr>
        <w:t>Star IEQ</w:t>
      </w:r>
      <w:r w:rsidRPr="008A3A38">
        <w:rPr>
          <w:rFonts w:ascii="Aptos" w:hAnsi="Aptos"/>
          <w:sz w:val="28"/>
          <w:szCs w:val="28"/>
        </w:rPr>
        <w:t xml:space="preserve">-13 requirements. </w:t>
      </w:r>
    </w:p>
    <w:p w14:paraId="22B5A8DE" w14:textId="678DB691" w:rsidR="008A3A38" w:rsidRDefault="008A3A38" w:rsidP="008A3A38">
      <w:pPr>
        <w:spacing w:line="240" w:lineRule="auto"/>
        <w:jc w:val="both"/>
        <w:rPr>
          <w:rFonts w:ascii="Aptos" w:eastAsia="Times New Roman" w:hAnsi="Aptos" w:cs="Times New Roman"/>
          <w:sz w:val="28"/>
          <w:szCs w:val="28"/>
        </w:rPr>
      </w:pPr>
    </w:p>
    <w:p w14:paraId="070AA5E5" w14:textId="42A1C519" w:rsidR="008A3A38" w:rsidRPr="008A3A38" w:rsidRDefault="008A3A38" w:rsidP="008A3A38">
      <w:pPr>
        <w:spacing w:line="240" w:lineRule="auto"/>
        <w:jc w:val="both"/>
        <w:rPr>
          <w:rFonts w:ascii="Aptos" w:eastAsia="Times New Roman" w:hAnsi="Aptos" w:cs="Times New Roman"/>
          <w:sz w:val="28"/>
          <w:szCs w:val="28"/>
        </w:rPr>
      </w:pPr>
      <w:r>
        <w:rPr>
          <w:rFonts w:ascii="Aptos" w:eastAsia="Times New Roman" w:hAnsi="Aptos" w:cs="Times New Roman"/>
          <w:noProof/>
          <w:sz w:val="28"/>
          <w:szCs w:val="28"/>
        </w:rPr>
        <w:drawing>
          <wp:anchor distT="0" distB="0" distL="114300" distR="114300" simplePos="0" relativeHeight="251664384" behindDoc="0" locked="0" layoutInCell="1" allowOverlap="1" wp14:anchorId="1C3392E5" wp14:editId="12737E50">
            <wp:simplePos x="0" y="0"/>
            <wp:positionH relativeFrom="margin">
              <wp:align>right</wp:align>
            </wp:positionH>
            <wp:positionV relativeFrom="paragraph">
              <wp:posOffset>221615</wp:posOffset>
            </wp:positionV>
            <wp:extent cx="6877050" cy="876300"/>
            <wp:effectExtent l="0" t="0" r="0" b="0"/>
            <wp:wrapSquare wrapText="bothSides"/>
            <wp:docPr id="916406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p w14:paraId="61CA8856" w14:textId="77777777" w:rsidR="008A3A38" w:rsidRDefault="008A3A38" w:rsidP="008A3A38">
      <w:pPr>
        <w:spacing w:line="240" w:lineRule="auto"/>
        <w:rPr>
          <w:rFonts w:ascii="Britannic Bold" w:hAnsi="Britannic Bold"/>
          <w:color w:val="FFC000"/>
          <w:sz w:val="56"/>
          <w:szCs w:val="56"/>
        </w:rPr>
      </w:pPr>
    </w:p>
    <w:p w14:paraId="0E1B7E2B" w14:textId="73C182F9" w:rsidR="008A3A38" w:rsidRPr="008A3A38" w:rsidRDefault="008A3A38" w:rsidP="008A3A38">
      <w:pPr>
        <w:spacing w:line="240" w:lineRule="auto"/>
        <w:rPr>
          <w:rFonts w:ascii="Britannic Bold" w:hAnsi="Britannic Bold"/>
          <w:color w:val="FFC000"/>
          <w:sz w:val="56"/>
          <w:szCs w:val="56"/>
        </w:rPr>
      </w:pPr>
      <w:r w:rsidRPr="008A3A38">
        <w:rPr>
          <w:rFonts w:ascii="Britannic Bold" w:hAnsi="Britannic Bold"/>
          <w:color w:val="ED7D31" w:themeColor="accent2"/>
          <w:sz w:val="56"/>
          <w:szCs w:val="56"/>
        </w:rPr>
        <w:lastRenderedPageBreak/>
        <w:t>ER10</w:t>
      </w:r>
      <w:r w:rsidRPr="008A3A38">
        <w:rPr>
          <w:rFonts w:ascii="Britannic Bold" w:hAnsi="Britannic Bold"/>
          <w:color w:val="ED7D31" w:themeColor="accent2"/>
          <w:sz w:val="56"/>
          <w:szCs w:val="56"/>
        </w:rPr>
        <w:t xml:space="preserve">0: </w:t>
      </w:r>
      <w:r w:rsidRPr="008A3A38">
        <w:rPr>
          <w:rFonts w:ascii="Aptos" w:eastAsia="Cambria" w:hAnsi="Aptos" w:cs="Cambria"/>
          <w:sz w:val="24"/>
          <w:szCs w:val="24"/>
        </w:rPr>
        <w:t>FAST CURING PRE-BLENDED POLYMER MODIFIED CEMENT BASED RENDER</w:t>
      </w:r>
    </w:p>
    <w:p w14:paraId="2E472130" w14:textId="77777777" w:rsidR="00BA0338" w:rsidRPr="008A3A38" w:rsidRDefault="00000000" w:rsidP="008A3A38">
      <w:pPr>
        <w:spacing w:line="240" w:lineRule="auto"/>
        <w:jc w:val="both"/>
        <w:rPr>
          <w:rFonts w:ascii="Aptos" w:hAnsi="Aptos"/>
          <w:szCs w:val="20"/>
        </w:rPr>
      </w:pPr>
      <w:r w:rsidRPr="008A3A38">
        <w:rPr>
          <w:rFonts w:ascii="Aptos" w:eastAsia="Times New Roman" w:hAnsi="Aptos" w:cs="Times New Roman"/>
          <w:szCs w:val="20"/>
        </w:rPr>
        <w:t xml:space="preserve"> </w:t>
      </w:r>
    </w:p>
    <w:p w14:paraId="79D0F5B1" w14:textId="77777777" w:rsidR="00BA0338" w:rsidRPr="008A3A38" w:rsidRDefault="00000000" w:rsidP="008A3A38">
      <w:pPr>
        <w:spacing w:line="240" w:lineRule="auto"/>
        <w:jc w:val="both"/>
        <w:rPr>
          <w:rFonts w:ascii="Aptos" w:hAnsi="Aptos"/>
          <w:szCs w:val="20"/>
        </w:rPr>
      </w:pPr>
      <w:r w:rsidRPr="008A3A38">
        <w:rPr>
          <w:rFonts w:ascii="Aptos" w:eastAsia="Times New Roman" w:hAnsi="Aptos" w:cs="Times New Roman"/>
          <w:szCs w:val="20"/>
        </w:rPr>
        <w:t xml:space="preserve"> </w:t>
      </w:r>
      <w:r w:rsidRPr="008A3A38">
        <w:rPr>
          <w:rFonts w:ascii="Aptos" w:eastAsia="Times New Roman" w:hAnsi="Aptos" w:cs="Times New Roman"/>
          <w:szCs w:val="20"/>
        </w:rPr>
        <w:tab/>
      </w:r>
      <w:r w:rsidRPr="008A3A38">
        <w:rPr>
          <w:rFonts w:ascii="Aptos" w:hAnsi="Aptos"/>
          <w:szCs w:val="20"/>
        </w:rPr>
        <w:t xml:space="preserve"> </w:t>
      </w:r>
    </w:p>
    <w:p w14:paraId="606E7D89" w14:textId="77777777" w:rsidR="00BA0338" w:rsidRPr="008A3A38" w:rsidRDefault="00000000" w:rsidP="008A3A38">
      <w:pPr>
        <w:spacing w:line="240" w:lineRule="auto"/>
        <w:jc w:val="both"/>
        <w:rPr>
          <w:rFonts w:ascii="Aptos" w:hAnsi="Aptos"/>
          <w:szCs w:val="20"/>
        </w:rPr>
      </w:pPr>
      <w:r w:rsidRPr="008A3A38">
        <w:rPr>
          <w:rFonts w:ascii="Aptos" w:hAnsi="Aptos"/>
          <w:noProof/>
          <w:sz w:val="22"/>
        </w:rPr>
        <w:drawing>
          <wp:anchor distT="0" distB="0" distL="114300" distR="114300" simplePos="0" relativeHeight="251661312" behindDoc="0" locked="0" layoutInCell="1" allowOverlap="0" wp14:anchorId="7A562EA4" wp14:editId="5748358C">
            <wp:simplePos x="0" y="0"/>
            <wp:positionH relativeFrom="column">
              <wp:posOffset>136017</wp:posOffset>
            </wp:positionH>
            <wp:positionV relativeFrom="paragraph">
              <wp:posOffset>-31066</wp:posOffset>
            </wp:positionV>
            <wp:extent cx="785482" cy="7437120"/>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5"/>
                    <a:stretch>
                      <a:fillRect/>
                    </a:stretch>
                  </pic:blipFill>
                  <pic:spPr>
                    <a:xfrm>
                      <a:off x="0" y="0"/>
                      <a:ext cx="785482" cy="7437120"/>
                    </a:xfrm>
                    <a:prstGeom prst="rect">
                      <a:avLst/>
                    </a:prstGeom>
                  </pic:spPr>
                </pic:pic>
              </a:graphicData>
            </a:graphic>
          </wp:anchor>
        </w:drawing>
      </w:r>
      <w:r w:rsidRPr="008A3A38">
        <w:rPr>
          <w:rFonts w:ascii="Aptos" w:hAnsi="Aptos"/>
          <w:sz w:val="22"/>
        </w:rPr>
        <w:t>Characteristics</w:t>
      </w:r>
      <w:r w:rsidRPr="008A3A38">
        <w:rPr>
          <w:rFonts w:ascii="Aptos" w:hAnsi="Aptos"/>
          <w:szCs w:val="20"/>
        </w:rPr>
        <w:t xml:space="preserve"> </w:t>
      </w:r>
    </w:p>
    <w:p w14:paraId="09D2E2E4" w14:textId="62B5D4F9" w:rsidR="00BA0338" w:rsidRPr="008A3A38" w:rsidRDefault="00000000" w:rsidP="008A3A38">
      <w:pPr>
        <w:spacing w:line="240" w:lineRule="auto"/>
        <w:jc w:val="both"/>
        <w:rPr>
          <w:rFonts w:ascii="Aptos" w:hAnsi="Aptos"/>
          <w:szCs w:val="20"/>
        </w:rPr>
      </w:pPr>
      <w:r w:rsidRPr="008A3A38">
        <w:rPr>
          <w:rFonts w:ascii="Aptos" w:hAnsi="Aptos"/>
          <w:szCs w:val="20"/>
        </w:rPr>
        <w:t xml:space="preserve">ER100 is a multipurpose, acrylic render that boasts superior trowel </w:t>
      </w:r>
      <w:r w:rsidR="008A3A38" w:rsidRPr="008A3A38">
        <w:rPr>
          <w:rFonts w:ascii="Aptos" w:hAnsi="Aptos"/>
          <w:szCs w:val="20"/>
        </w:rPr>
        <w:t>ability,</w:t>
      </w:r>
      <w:r w:rsidRPr="008A3A38">
        <w:rPr>
          <w:rFonts w:ascii="Aptos" w:hAnsi="Aptos"/>
          <w:szCs w:val="20"/>
        </w:rPr>
        <w:t xml:space="preserve"> and its unique formulation allows it to be applied up to 12mm with no sagging or cracking.  ER100 can be applied using traditional hawk and trowel methods over brick work, AAC blocks, blue board (fibre cement sheet) concrete and polystyrene board (contact your nearest Novatex office for correct application). </w:t>
      </w:r>
    </w:p>
    <w:p w14:paraId="7A56EA70"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736CD1EE"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Preparation </w:t>
      </w:r>
    </w:p>
    <w:p w14:paraId="30BE926B"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Ensure new concrete is allowed to cure for a minimum of 5 days.  Ensure all surfaces are sound, dry and free from oil, dust, grease, wax, curing compounds, release agents and any other contaminating materials. It is recommended that all dry and porous surfaces should be primed first using Nova Mix Additive with water mixed 1:1. Warning, do not over seal, only apply one coat.  Where excessive suction is a problem add approximately 200ml of Nova Mix Additive per bag to first coat. </w:t>
      </w:r>
    </w:p>
    <w:p w14:paraId="1A03EF8F"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240A0EE0"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Mixing </w:t>
      </w:r>
    </w:p>
    <w:p w14:paraId="30E97D9E"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Depending on weather conditions and application a slight variation in the amount of water may be required.  The mixing ratio of ER100 is 20kg of powder to 4-4.5 litres of water.  Pour 4 to 4.5 litres of clean water into a drum and then gradually add the ER100 while mixing continuously until smooth lump free mix is obtained.  Always add powder to liquid.  Allow the mix to stand for 2 min.  Re stir and the ER100 is ready to use. </w:t>
      </w:r>
    </w:p>
    <w:p w14:paraId="0884F2DD"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F65C14E" w14:textId="77777777" w:rsidR="00BA0338" w:rsidRPr="008A3A38" w:rsidRDefault="00000000" w:rsidP="008A3A38">
      <w:pPr>
        <w:spacing w:line="240" w:lineRule="auto"/>
        <w:jc w:val="both"/>
        <w:rPr>
          <w:rFonts w:ascii="Aptos" w:hAnsi="Aptos"/>
          <w:szCs w:val="20"/>
        </w:rPr>
      </w:pPr>
      <w:r w:rsidRPr="008A3A38">
        <w:rPr>
          <w:rFonts w:ascii="Aptos" w:hAnsi="Aptos"/>
          <w:sz w:val="22"/>
        </w:rPr>
        <w:t xml:space="preserve">Application </w:t>
      </w:r>
      <w:r w:rsidRPr="008A3A38">
        <w:rPr>
          <w:rFonts w:ascii="Aptos" w:hAnsi="Aptos"/>
          <w:szCs w:val="20"/>
        </w:rPr>
        <w:t xml:space="preserve"> </w:t>
      </w:r>
    </w:p>
    <w:p w14:paraId="2DB5AFF1"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Once the substrate has been correctly prepared in accordance with the above instructions. Trowel on ER100 onto surface and level off using a plastic float.  Apply using traditional rendering methods. ER100 can be applied between 3-12mm per coat.  The final coat must be painted with Bondi Bling or with an acrylic sealer and two coats of good quality paint.  Allow at least 5 days for curing (depending on weather conditions) before painting.  When applying over polystyrene or blue board mix 500ml of Nova Mix Additive to 4L of water (water ratio may vary for different applications) then use gauging water to mix in with powder. </w:t>
      </w:r>
    </w:p>
    <w:p w14:paraId="2E2B8BE4"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57A26D6A"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Drying Time </w:t>
      </w:r>
    </w:p>
    <w:p w14:paraId="0D4C4F35" w14:textId="0DEF8B52" w:rsidR="00BA0338" w:rsidRPr="008A3A38" w:rsidRDefault="00000000" w:rsidP="008A3A38">
      <w:pPr>
        <w:spacing w:line="240" w:lineRule="auto"/>
        <w:jc w:val="both"/>
        <w:rPr>
          <w:rFonts w:ascii="Aptos" w:hAnsi="Aptos"/>
          <w:szCs w:val="20"/>
        </w:rPr>
      </w:pPr>
      <w:r w:rsidRPr="008A3A38">
        <w:rPr>
          <w:rFonts w:ascii="Aptos" w:hAnsi="Aptos"/>
          <w:szCs w:val="20"/>
        </w:rPr>
        <w:t>ER100 is touch dry in 2-4hrs @ 23°C.  Second coat may be applied after 6-</w:t>
      </w:r>
      <w:r w:rsidR="008A3A38" w:rsidRPr="008A3A38">
        <w:rPr>
          <w:rFonts w:ascii="Aptos" w:hAnsi="Aptos"/>
          <w:szCs w:val="20"/>
        </w:rPr>
        <w:t>8hrs,</w:t>
      </w:r>
      <w:r w:rsidRPr="008A3A38">
        <w:rPr>
          <w:rFonts w:ascii="Aptos" w:hAnsi="Aptos"/>
          <w:szCs w:val="20"/>
        </w:rPr>
        <w:t xml:space="preserve"> and surface will reach full cure after 7 days.  Before application of a decorative finish (</w:t>
      </w:r>
      <w:r w:rsidR="008A3A38" w:rsidRPr="008A3A38">
        <w:rPr>
          <w:rFonts w:ascii="Aptos" w:hAnsi="Aptos"/>
          <w:szCs w:val="20"/>
        </w:rPr>
        <w:t>i.e.</w:t>
      </w:r>
      <w:r w:rsidRPr="008A3A38">
        <w:rPr>
          <w:rFonts w:ascii="Aptos" w:hAnsi="Aptos"/>
          <w:szCs w:val="20"/>
        </w:rPr>
        <w:t xml:space="preserve"> paint) allow ER100 to cure for a minimum of 1 day per 2mm thickness of the render.  Cold, damp or humid conditions may lengthen the drying time. </w:t>
      </w:r>
    </w:p>
    <w:p w14:paraId="4387539C"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399F59B8"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Coverage </w:t>
      </w:r>
    </w:p>
    <w:p w14:paraId="3141BDB6"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2-4m² per 20kg bag depending on surface and application thickness. </w:t>
      </w:r>
    </w:p>
    <w:p w14:paraId="4217CF1A"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2670E613"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Cleaning </w:t>
      </w:r>
    </w:p>
    <w:p w14:paraId="54372145"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Keep out of sewers and storm water.  Sweep up spills.  Novatex render can be cleaned off equipment with water, provided ER100 has not dried. </w:t>
      </w:r>
    </w:p>
    <w:p w14:paraId="62044103"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583EEDF9"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Shelf Life </w:t>
      </w:r>
    </w:p>
    <w:p w14:paraId="013C5A27"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12 months when stored in a dry place, in original unopened packaging. </w:t>
      </w:r>
    </w:p>
    <w:p w14:paraId="035B44D7"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5F6CA833"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67D856C"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78747977"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2764C663"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01B9D0E"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1E64FACE"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22F666B6"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1CF1E98"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1D59C30" w14:textId="28B6CB04" w:rsidR="00BA0338" w:rsidRPr="008A3A38" w:rsidRDefault="00000000" w:rsidP="008A3A38">
      <w:pPr>
        <w:spacing w:line="240" w:lineRule="auto"/>
        <w:jc w:val="center"/>
        <w:rPr>
          <w:rFonts w:ascii="Aptos" w:hAnsi="Aptos"/>
          <w:b/>
          <w:bCs/>
          <w:sz w:val="16"/>
          <w:szCs w:val="16"/>
        </w:rPr>
      </w:pPr>
      <w:r w:rsidRPr="008A3A38">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8A3A38" w:rsidRPr="008A3A38">
        <w:rPr>
          <w:rFonts w:ascii="Aptos" w:eastAsia="Times New Roman" w:hAnsi="Aptos" w:cs="Times New Roman"/>
          <w:b/>
          <w:bCs/>
          <w:i/>
          <w:sz w:val="16"/>
          <w:szCs w:val="16"/>
        </w:rPr>
        <w:t>.</w:t>
      </w:r>
    </w:p>
    <w:p w14:paraId="5AD5B7A6" w14:textId="7D27E5FA" w:rsidR="00BA0338" w:rsidRDefault="00000000" w:rsidP="008A3A38">
      <w:pPr>
        <w:spacing w:line="240" w:lineRule="auto"/>
        <w:jc w:val="both"/>
        <w:rPr>
          <w:rFonts w:ascii="Aptos" w:eastAsia="Times New Roman" w:hAnsi="Aptos" w:cs="Times New Roman"/>
          <w:szCs w:val="20"/>
        </w:rPr>
      </w:pPr>
      <w:r w:rsidRPr="008A3A38">
        <w:rPr>
          <w:rFonts w:ascii="Aptos" w:eastAsia="Times New Roman" w:hAnsi="Aptos" w:cs="Times New Roman"/>
          <w:szCs w:val="20"/>
        </w:rPr>
        <w:t xml:space="preserve"> </w:t>
      </w:r>
    </w:p>
    <w:p w14:paraId="0E22F7E9" w14:textId="77777777" w:rsidR="008A3A38" w:rsidRDefault="008A3A38" w:rsidP="008A3A38">
      <w:pPr>
        <w:spacing w:line="240" w:lineRule="auto"/>
        <w:jc w:val="both"/>
        <w:rPr>
          <w:rFonts w:ascii="Aptos" w:eastAsia="Times New Roman" w:hAnsi="Aptos" w:cs="Times New Roman"/>
          <w:szCs w:val="20"/>
        </w:rPr>
      </w:pPr>
    </w:p>
    <w:p w14:paraId="4291EA0D" w14:textId="77777777" w:rsidR="008A3A38" w:rsidRPr="008A3A38" w:rsidRDefault="008A3A38" w:rsidP="008A3A38">
      <w:pPr>
        <w:spacing w:line="240" w:lineRule="auto"/>
        <w:jc w:val="both"/>
        <w:rPr>
          <w:rFonts w:ascii="Aptos" w:hAnsi="Aptos"/>
          <w:szCs w:val="20"/>
        </w:rPr>
      </w:pPr>
    </w:p>
    <w:p w14:paraId="35374655" w14:textId="1A63D96C" w:rsidR="008A3A38" w:rsidRPr="008A3A38" w:rsidRDefault="008A3A38" w:rsidP="008A3A38">
      <w:pPr>
        <w:spacing w:line="240" w:lineRule="auto"/>
        <w:rPr>
          <w:rFonts w:ascii="Britannic Bold" w:hAnsi="Britannic Bold"/>
          <w:color w:val="FFC000"/>
          <w:sz w:val="56"/>
          <w:szCs w:val="56"/>
        </w:rPr>
      </w:pPr>
      <w:r w:rsidRPr="008A3A38">
        <w:rPr>
          <w:rFonts w:ascii="Britannic Bold" w:hAnsi="Britannic Bold"/>
          <w:color w:val="ED7D31" w:themeColor="accent2"/>
          <w:sz w:val="56"/>
          <w:szCs w:val="56"/>
        </w:rPr>
        <w:lastRenderedPageBreak/>
        <w:t xml:space="preserve">ER100: </w:t>
      </w:r>
      <w:r w:rsidRPr="008A3A38">
        <w:rPr>
          <w:rFonts w:ascii="Aptos" w:eastAsia="Cambria" w:hAnsi="Aptos" w:cs="Cambria"/>
          <w:sz w:val="24"/>
          <w:szCs w:val="24"/>
        </w:rPr>
        <w:t>FAST CURING PRE-BLENDED POLYMER MODIFIED CEMENT BASED RENDER</w:t>
      </w:r>
    </w:p>
    <w:p w14:paraId="1B10B583" w14:textId="3C28AA2F"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6B101444" w14:textId="41AFE107" w:rsidR="00BA0338" w:rsidRDefault="008A3A38" w:rsidP="008A3A38">
      <w:pPr>
        <w:spacing w:line="240" w:lineRule="auto"/>
        <w:jc w:val="both"/>
        <w:rPr>
          <w:rFonts w:ascii="Aptos" w:hAnsi="Aptos"/>
          <w:szCs w:val="20"/>
        </w:rPr>
      </w:pPr>
      <w:r w:rsidRPr="008A3A38">
        <w:rPr>
          <w:rFonts w:ascii="Aptos" w:hAnsi="Aptos"/>
          <w:noProof/>
          <w:szCs w:val="20"/>
        </w:rPr>
        <w:drawing>
          <wp:anchor distT="0" distB="0" distL="114300" distR="114300" simplePos="0" relativeHeight="251662336" behindDoc="0" locked="0" layoutInCell="1" allowOverlap="0" wp14:anchorId="27DCBFA7" wp14:editId="13588E7B">
            <wp:simplePos x="0" y="0"/>
            <wp:positionH relativeFrom="margin">
              <wp:align>left</wp:align>
            </wp:positionH>
            <wp:positionV relativeFrom="paragraph">
              <wp:posOffset>10795</wp:posOffset>
            </wp:positionV>
            <wp:extent cx="784860" cy="7437120"/>
            <wp:effectExtent l="0" t="0" r="0" b="0"/>
            <wp:wrapSquare wrapText="bothSides"/>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5"/>
                    <a:stretch>
                      <a:fillRect/>
                    </a:stretch>
                  </pic:blipFill>
                  <pic:spPr>
                    <a:xfrm>
                      <a:off x="0" y="0"/>
                      <a:ext cx="784860" cy="7437120"/>
                    </a:xfrm>
                    <a:prstGeom prst="rect">
                      <a:avLst/>
                    </a:prstGeom>
                  </pic:spPr>
                </pic:pic>
              </a:graphicData>
            </a:graphic>
          </wp:anchor>
        </w:drawing>
      </w:r>
      <w:r w:rsidR="00000000" w:rsidRPr="008A3A38">
        <w:rPr>
          <w:rFonts w:ascii="Aptos" w:hAnsi="Aptos"/>
          <w:szCs w:val="20"/>
        </w:rPr>
        <w:t xml:space="preserve"> </w:t>
      </w:r>
    </w:p>
    <w:p w14:paraId="713DD6B0" w14:textId="502E2522" w:rsidR="008A3A38" w:rsidRPr="008A3A38" w:rsidRDefault="008A3A38" w:rsidP="008A3A38">
      <w:pPr>
        <w:spacing w:line="240" w:lineRule="auto"/>
        <w:jc w:val="both"/>
        <w:rPr>
          <w:rFonts w:ascii="Aptos" w:hAnsi="Aptos"/>
          <w:szCs w:val="20"/>
        </w:rPr>
      </w:pPr>
    </w:p>
    <w:p w14:paraId="62E65EF3" w14:textId="3E90523E" w:rsidR="00BA0338" w:rsidRPr="008A3A38" w:rsidRDefault="00000000" w:rsidP="008A3A38">
      <w:pPr>
        <w:spacing w:line="240" w:lineRule="auto"/>
        <w:jc w:val="both"/>
        <w:rPr>
          <w:rFonts w:ascii="Aptos" w:hAnsi="Aptos"/>
          <w:sz w:val="22"/>
        </w:rPr>
      </w:pPr>
      <w:r w:rsidRPr="008A3A38">
        <w:rPr>
          <w:rFonts w:ascii="Aptos" w:hAnsi="Aptos"/>
          <w:sz w:val="22"/>
        </w:rPr>
        <w:t xml:space="preserve">Precautions </w:t>
      </w:r>
    </w:p>
    <w:p w14:paraId="3AD57FFF"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ER100 is not suitable for using over floors.  If applying over painted surfaces prime area using Optimus </w:t>
      </w:r>
    </w:p>
    <w:p w14:paraId="2B9C2CCF"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Primer (contact your nearest Novatex office for correct application).  Do not apply in temperatures below 5°C or above 35°C or application in extreme conditions such as high wind, direct sunlight, rain and water runoff. </w:t>
      </w:r>
    </w:p>
    <w:p w14:paraId="216FCC81"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59053965" w14:textId="78B78E18" w:rsidR="00BA0338" w:rsidRPr="008A3A38" w:rsidRDefault="00000000" w:rsidP="008A3A38">
      <w:pPr>
        <w:spacing w:line="240" w:lineRule="auto"/>
        <w:jc w:val="both"/>
        <w:rPr>
          <w:rFonts w:ascii="Aptos" w:hAnsi="Aptos"/>
          <w:sz w:val="22"/>
        </w:rPr>
      </w:pPr>
      <w:r w:rsidRPr="008A3A38">
        <w:rPr>
          <w:rFonts w:ascii="Aptos" w:hAnsi="Aptos"/>
          <w:sz w:val="22"/>
        </w:rPr>
        <w:t xml:space="preserve">Health and Safety </w:t>
      </w:r>
    </w:p>
    <w:p w14:paraId="3877AAF0" w14:textId="1D980F39" w:rsidR="00BA0338" w:rsidRPr="008A3A38" w:rsidRDefault="00000000" w:rsidP="008A3A38">
      <w:pPr>
        <w:spacing w:line="240" w:lineRule="auto"/>
        <w:jc w:val="both"/>
        <w:rPr>
          <w:rFonts w:ascii="Aptos" w:hAnsi="Aptos"/>
          <w:szCs w:val="20"/>
        </w:rPr>
      </w:pPr>
      <w:r w:rsidRPr="008A3A38">
        <w:rPr>
          <w:rFonts w:ascii="Aptos" w:hAnsi="Aptos"/>
          <w:szCs w:val="20"/>
        </w:rPr>
        <w:t xml:space="preserve">The powder can be irritable; Paper dust protection masks must be worn while product is being mixed.  The wet compound is alkaline and prolonged skin contact should be avoided. </w:t>
      </w:r>
    </w:p>
    <w:p w14:paraId="61E58B75" w14:textId="77777777" w:rsidR="00BA0338" w:rsidRPr="008A3A38" w:rsidRDefault="00000000" w:rsidP="008A3A38">
      <w:pPr>
        <w:spacing w:line="240" w:lineRule="auto"/>
        <w:jc w:val="both"/>
        <w:rPr>
          <w:rFonts w:ascii="Aptos" w:hAnsi="Aptos"/>
          <w:szCs w:val="20"/>
        </w:rPr>
      </w:pPr>
      <w:r w:rsidRPr="008A3A38">
        <w:rPr>
          <w:rFonts w:ascii="Aptos" w:hAnsi="Aptos"/>
          <w:szCs w:val="20"/>
        </w:rPr>
        <w:t xml:space="preserve"> </w:t>
      </w:r>
    </w:p>
    <w:p w14:paraId="3E23F247" w14:textId="77777777" w:rsidR="00BA0338" w:rsidRPr="008A3A38" w:rsidRDefault="00000000" w:rsidP="008A3A38">
      <w:pPr>
        <w:spacing w:line="240" w:lineRule="auto"/>
        <w:jc w:val="both"/>
        <w:rPr>
          <w:rFonts w:ascii="Aptos" w:hAnsi="Aptos"/>
          <w:sz w:val="22"/>
        </w:rPr>
      </w:pPr>
      <w:r w:rsidRPr="008A3A38">
        <w:rPr>
          <w:rFonts w:ascii="Aptos" w:hAnsi="Aptos"/>
          <w:sz w:val="22"/>
        </w:rPr>
        <w:t xml:space="preserve">Disclaimer </w:t>
      </w:r>
    </w:p>
    <w:p w14:paraId="0412616B" w14:textId="774C87B8" w:rsidR="00BA0338" w:rsidRPr="008A3A38" w:rsidRDefault="00000000" w:rsidP="008A3A38">
      <w:pPr>
        <w:spacing w:line="240" w:lineRule="auto"/>
        <w:jc w:val="both"/>
        <w:rPr>
          <w:rFonts w:ascii="Aptos" w:hAnsi="Aptos"/>
          <w:szCs w:val="20"/>
        </w:rPr>
      </w:pPr>
      <w:r w:rsidRPr="008A3A38">
        <w:rPr>
          <w:rFonts w:ascii="Aptos" w:hAnsi="Aptos"/>
          <w:szCs w:val="20"/>
        </w:rPr>
        <w:t xml:space="preserve">Please note:  Recommendations and advice regarding the use of this product are to be taken as a guide only.  Novatex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 situations not mentioned on this packaging, please contact your nearest Novatex office. </w:t>
      </w:r>
    </w:p>
    <w:p w14:paraId="502FEE42" w14:textId="77777777" w:rsidR="00BA0338" w:rsidRPr="008A3A38" w:rsidRDefault="00000000" w:rsidP="008A3A38">
      <w:pPr>
        <w:spacing w:line="240" w:lineRule="auto"/>
        <w:jc w:val="both"/>
        <w:rPr>
          <w:rFonts w:ascii="Aptos" w:hAnsi="Aptos"/>
          <w:szCs w:val="20"/>
        </w:rPr>
      </w:pPr>
      <w:r w:rsidRPr="008A3A38">
        <w:rPr>
          <w:rFonts w:ascii="Aptos" w:eastAsia="Times New Roman" w:hAnsi="Aptos" w:cs="Times New Roman"/>
          <w:szCs w:val="20"/>
        </w:rPr>
        <w:t xml:space="preserve"> </w:t>
      </w:r>
    </w:p>
    <w:p w14:paraId="302BD99E" w14:textId="77777777" w:rsidR="008A3A38" w:rsidRDefault="008A3A38" w:rsidP="008A3A38">
      <w:pPr>
        <w:spacing w:line="240" w:lineRule="auto"/>
        <w:jc w:val="both"/>
        <w:rPr>
          <w:rFonts w:ascii="Aptos" w:eastAsia="Times New Roman" w:hAnsi="Aptos" w:cs="Times New Roman"/>
          <w:noProof/>
          <w:szCs w:val="20"/>
        </w:rPr>
      </w:pPr>
      <w:r>
        <w:rPr>
          <w:rFonts w:ascii="Aptos" w:eastAsia="Times New Roman" w:hAnsi="Aptos" w:cs="Times New Roman"/>
          <w:noProof/>
          <w:sz w:val="28"/>
          <w:szCs w:val="28"/>
        </w:rPr>
        <w:drawing>
          <wp:anchor distT="0" distB="0" distL="114300" distR="114300" simplePos="0" relativeHeight="251666432" behindDoc="0" locked="0" layoutInCell="1" allowOverlap="1" wp14:anchorId="22879116" wp14:editId="154D2D61">
            <wp:simplePos x="0" y="0"/>
            <wp:positionH relativeFrom="page">
              <wp:align>center</wp:align>
            </wp:positionH>
            <wp:positionV relativeFrom="paragraph">
              <wp:posOffset>5330825</wp:posOffset>
            </wp:positionV>
            <wp:extent cx="6877050" cy="876300"/>
            <wp:effectExtent l="0" t="0" r="0" b="0"/>
            <wp:wrapSquare wrapText="bothSides"/>
            <wp:docPr id="2135123250" name="Picture 2135123250"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123250" name="Picture 2135123250" descr="A green logo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8A3A38">
        <w:rPr>
          <w:rFonts w:ascii="Aptos" w:eastAsia="Times New Roman" w:hAnsi="Aptos" w:cs="Times New Roman"/>
          <w:szCs w:val="20"/>
        </w:rPr>
        <w:t xml:space="preserve"> </w:t>
      </w:r>
    </w:p>
    <w:p w14:paraId="348DBA58" w14:textId="77777777" w:rsidR="008A3A38" w:rsidRDefault="008A3A38" w:rsidP="008A3A38">
      <w:pPr>
        <w:spacing w:line="240" w:lineRule="auto"/>
        <w:jc w:val="both"/>
        <w:rPr>
          <w:rFonts w:ascii="Aptos" w:eastAsia="Times New Roman" w:hAnsi="Aptos" w:cs="Times New Roman"/>
          <w:noProof/>
          <w:szCs w:val="20"/>
        </w:rPr>
      </w:pPr>
    </w:p>
    <w:p w14:paraId="0D427A40" w14:textId="5343FFAA" w:rsidR="00BA0338" w:rsidRPr="008A3A38" w:rsidRDefault="00BA0338" w:rsidP="008A3A38">
      <w:pPr>
        <w:spacing w:line="240" w:lineRule="auto"/>
        <w:jc w:val="both"/>
        <w:rPr>
          <w:rFonts w:ascii="Aptos" w:hAnsi="Aptos"/>
          <w:szCs w:val="20"/>
        </w:rPr>
      </w:pPr>
    </w:p>
    <w:sectPr w:rsidR="00BA0338" w:rsidRPr="008A3A38">
      <w:pgSz w:w="11906" w:h="16838"/>
      <w:pgMar w:top="842" w:right="375" w:bottom="6"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1131"/>
    <w:multiLevelType w:val="hybridMultilevel"/>
    <w:tmpl w:val="650861DE"/>
    <w:lvl w:ilvl="0" w:tplc="FFE81CB4">
      <w:start w:val="1"/>
      <w:numFmt w:val="bullet"/>
      <w:lvlText w:val="o"/>
      <w:lvlJc w:val="left"/>
      <w:pPr>
        <w:ind w:left="1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A4D2B8C6">
      <w:start w:val="1"/>
      <w:numFmt w:val="bullet"/>
      <w:lvlText w:val="o"/>
      <w:lvlJc w:val="left"/>
      <w:pPr>
        <w:ind w:left="26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F4261F76">
      <w:start w:val="1"/>
      <w:numFmt w:val="bullet"/>
      <w:lvlText w:val="▪"/>
      <w:lvlJc w:val="left"/>
      <w:pPr>
        <w:ind w:left="33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43EC1014">
      <w:start w:val="1"/>
      <w:numFmt w:val="bullet"/>
      <w:lvlText w:val="•"/>
      <w:lvlJc w:val="left"/>
      <w:pPr>
        <w:ind w:left="41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384AE040">
      <w:start w:val="1"/>
      <w:numFmt w:val="bullet"/>
      <w:lvlText w:val="o"/>
      <w:lvlJc w:val="left"/>
      <w:pPr>
        <w:ind w:left="48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9FD098B0">
      <w:start w:val="1"/>
      <w:numFmt w:val="bullet"/>
      <w:lvlText w:val="▪"/>
      <w:lvlJc w:val="left"/>
      <w:pPr>
        <w:ind w:left="55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CF2881A">
      <w:start w:val="1"/>
      <w:numFmt w:val="bullet"/>
      <w:lvlText w:val="•"/>
      <w:lvlJc w:val="left"/>
      <w:pPr>
        <w:ind w:left="6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D1ECC648">
      <w:start w:val="1"/>
      <w:numFmt w:val="bullet"/>
      <w:lvlText w:val="o"/>
      <w:lvlJc w:val="left"/>
      <w:pPr>
        <w:ind w:left="69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73C854A2">
      <w:start w:val="1"/>
      <w:numFmt w:val="bullet"/>
      <w:lvlText w:val="▪"/>
      <w:lvlJc w:val="left"/>
      <w:pPr>
        <w:ind w:left="77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0605A2E"/>
    <w:multiLevelType w:val="hybridMultilevel"/>
    <w:tmpl w:val="DE2A96F8"/>
    <w:lvl w:ilvl="0" w:tplc="0C090003">
      <w:start w:val="1"/>
      <w:numFmt w:val="bullet"/>
      <w:lvlText w:val="o"/>
      <w:lvlJc w:val="left"/>
      <w:pPr>
        <w:ind w:left="934" w:hanging="360"/>
      </w:pPr>
      <w:rPr>
        <w:rFonts w:ascii="Courier New" w:hAnsi="Courier New" w:cs="Courier New" w:hint="default"/>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num w:numId="1" w16cid:durableId="304553641">
    <w:abstractNumId w:val="0"/>
  </w:num>
  <w:num w:numId="2" w16cid:durableId="329987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38"/>
    <w:rsid w:val="008A3A38"/>
    <w:rsid w:val="00985AF6"/>
    <w:rsid w:val="00BA0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58C6"/>
  <w15:docId w15:val="{8DA63F22-40C1-4CA7-8416-9AD9B6C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24" w:right="48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448" w:hanging="10"/>
      <w:outlineLvl w:val="0"/>
    </w:pPr>
    <w:rPr>
      <w:rFonts w:ascii="Cambria" w:eastAsia="Cambria" w:hAnsi="Cambria" w:cs="Cambria"/>
      <w:b/>
      <w:color w:val="FFC000"/>
      <w:sz w:val="72"/>
    </w:rPr>
  </w:style>
  <w:style w:type="paragraph" w:styleId="Heading2">
    <w:name w:val="heading 2"/>
    <w:next w:val="Normal"/>
    <w:link w:val="Heading2Char"/>
    <w:uiPriority w:val="9"/>
    <w:unhideWhenUsed/>
    <w:qFormat/>
    <w:pPr>
      <w:keepNext/>
      <w:keepLines/>
      <w:spacing w:after="122"/>
      <w:ind w:left="1448"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0"/>
      <w:ind w:left="224"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71"/>
      <w:ind w:left="10"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FFC000"/>
      <w:sz w:val="72"/>
    </w:rPr>
  </w:style>
  <w:style w:type="paragraph" w:styleId="ListParagraph">
    <w:name w:val="List Paragraph"/>
    <w:basedOn w:val="Normal"/>
    <w:uiPriority w:val="34"/>
    <w:qFormat/>
    <w:rsid w:val="008A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2023-12-18T01:32:00Z</dcterms:created>
  <dcterms:modified xsi:type="dcterms:W3CDTF">2023-12-18T01:32:00Z</dcterms:modified>
</cp:coreProperties>
</file>