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2A6A" w14:textId="0055751E" w:rsidR="00E906DD" w:rsidRPr="00B24C73" w:rsidRDefault="00000000" w:rsidP="00B24C73">
      <w:pPr>
        <w:spacing w:after="0" w:line="240" w:lineRule="auto"/>
        <w:jc w:val="center"/>
        <w:rPr>
          <w:rFonts w:ascii="Britannic Bold" w:hAnsi="Britannic Bold"/>
          <w:sz w:val="60"/>
          <w:szCs w:val="60"/>
        </w:rPr>
      </w:pPr>
      <w:r w:rsidRPr="00B24C73">
        <w:rPr>
          <w:rFonts w:ascii="Britannic Bold" w:hAnsi="Britannic Bold"/>
          <w:sz w:val="60"/>
          <w:szCs w:val="60"/>
        </w:rPr>
        <w:t xml:space="preserve">NOVABOND </w:t>
      </w:r>
      <w:r w:rsidRPr="00B24C73">
        <w:rPr>
          <w:rFonts w:ascii="Britannic Bold" w:hAnsi="Britannic Bold"/>
          <w:color w:val="FF0000"/>
          <w:sz w:val="60"/>
          <w:szCs w:val="60"/>
        </w:rPr>
        <w:t>ADDITIVE</w:t>
      </w:r>
    </w:p>
    <w:p w14:paraId="0DF61521" w14:textId="697AC26F" w:rsidR="00E906DD" w:rsidRPr="00B24C73" w:rsidRDefault="00000000" w:rsidP="00B24C73">
      <w:pPr>
        <w:spacing w:after="0" w:line="240" w:lineRule="auto"/>
        <w:jc w:val="center"/>
        <w:rPr>
          <w:rFonts w:ascii="Aptos" w:hAnsi="Aptos"/>
          <w:sz w:val="28"/>
          <w:szCs w:val="28"/>
        </w:rPr>
      </w:pPr>
      <w:r w:rsidRPr="00B24C73">
        <w:rPr>
          <w:rFonts w:ascii="Aptos" w:eastAsia="Cambria" w:hAnsi="Aptos" w:cs="Cambria"/>
          <w:sz w:val="28"/>
          <w:szCs w:val="28"/>
        </w:rPr>
        <w:t>SPECIALLY DESIGNED ACRYLIC POLYMER ADDITIVE</w:t>
      </w:r>
    </w:p>
    <w:p w14:paraId="349546C4" w14:textId="7777777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 </w:t>
      </w:r>
    </w:p>
    <w:p w14:paraId="5DC89462" w14:textId="77777777" w:rsidR="00E906DD" w:rsidRPr="00B24C73" w:rsidRDefault="00000000" w:rsidP="00B24C73">
      <w:pPr>
        <w:spacing w:after="0" w:line="240" w:lineRule="auto"/>
        <w:jc w:val="both"/>
        <w:rPr>
          <w:rFonts w:ascii="Aptos" w:hAnsi="Aptos"/>
          <w:sz w:val="28"/>
          <w:szCs w:val="28"/>
        </w:rPr>
      </w:pPr>
      <w:r w:rsidRPr="00B24C73">
        <w:rPr>
          <w:rFonts w:ascii="Aptos" w:eastAsia="Times New Roman" w:hAnsi="Aptos" w:cs="Times New Roman"/>
          <w:sz w:val="28"/>
          <w:szCs w:val="28"/>
        </w:rPr>
        <w:t xml:space="preserve"> </w:t>
      </w:r>
    </w:p>
    <w:p w14:paraId="72F162DE" w14:textId="77777777" w:rsidR="00E906DD" w:rsidRPr="00B24C73" w:rsidRDefault="00000000" w:rsidP="00B24C73">
      <w:pPr>
        <w:spacing w:after="0" w:line="240" w:lineRule="auto"/>
        <w:jc w:val="both"/>
        <w:rPr>
          <w:rFonts w:ascii="Aptos" w:hAnsi="Aptos"/>
          <w:sz w:val="28"/>
          <w:szCs w:val="28"/>
        </w:rPr>
      </w:pPr>
      <w:r w:rsidRPr="00B24C73">
        <w:rPr>
          <w:rFonts w:ascii="Aptos" w:eastAsia="Cambria" w:hAnsi="Aptos" w:cs="Cambria"/>
          <w:sz w:val="28"/>
          <w:szCs w:val="28"/>
        </w:rPr>
        <w:t xml:space="preserve"> </w:t>
      </w:r>
    </w:p>
    <w:p w14:paraId="316AD4BD" w14:textId="699B015E" w:rsidR="00E906DD" w:rsidRPr="00B24C73" w:rsidRDefault="00000000" w:rsidP="00B24C73">
      <w:pPr>
        <w:spacing w:after="0" w:line="240" w:lineRule="auto"/>
        <w:jc w:val="both"/>
        <w:rPr>
          <w:rFonts w:ascii="Aptos" w:hAnsi="Aptos"/>
          <w:sz w:val="28"/>
          <w:szCs w:val="28"/>
        </w:rPr>
      </w:pPr>
      <w:r w:rsidRPr="00B24C73">
        <w:rPr>
          <w:rFonts w:ascii="Aptos" w:hAnsi="Aptos"/>
          <w:noProof/>
          <w:sz w:val="28"/>
          <w:szCs w:val="28"/>
        </w:rPr>
        <w:drawing>
          <wp:anchor distT="0" distB="0" distL="114300" distR="114300" simplePos="0" relativeHeight="251658240" behindDoc="0" locked="0" layoutInCell="1" allowOverlap="0" wp14:anchorId="02B6C899" wp14:editId="393A5127">
            <wp:simplePos x="0" y="0"/>
            <wp:positionH relativeFrom="column">
              <wp:posOffset>-25907</wp:posOffset>
            </wp:positionH>
            <wp:positionV relativeFrom="paragraph">
              <wp:posOffset>-221307</wp:posOffset>
            </wp:positionV>
            <wp:extent cx="785482" cy="7437121"/>
            <wp:effectExtent l="0" t="0" r="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stretch>
                      <a:fillRect/>
                    </a:stretch>
                  </pic:blipFill>
                  <pic:spPr>
                    <a:xfrm>
                      <a:off x="0" y="0"/>
                      <a:ext cx="785482" cy="7437121"/>
                    </a:xfrm>
                    <a:prstGeom prst="rect">
                      <a:avLst/>
                    </a:prstGeom>
                  </pic:spPr>
                </pic:pic>
              </a:graphicData>
            </a:graphic>
          </wp:anchor>
        </w:drawing>
      </w:r>
      <w:r w:rsidRPr="00B24C73">
        <w:rPr>
          <w:rFonts w:ascii="Aptos" w:hAnsi="Aptos"/>
          <w:sz w:val="28"/>
          <w:szCs w:val="28"/>
        </w:rPr>
        <w:t xml:space="preserve">TECHNICAL DATA SHEET </w:t>
      </w:r>
    </w:p>
    <w:p w14:paraId="6A701453" w14:textId="77777777" w:rsidR="00E906DD" w:rsidRPr="00B24C73" w:rsidRDefault="00000000" w:rsidP="00B24C73">
      <w:pPr>
        <w:spacing w:after="0" w:line="240" w:lineRule="auto"/>
        <w:jc w:val="both"/>
        <w:rPr>
          <w:rFonts w:ascii="Aptos" w:hAnsi="Aptos"/>
          <w:sz w:val="28"/>
          <w:szCs w:val="28"/>
        </w:rPr>
      </w:pPr>
      <w:r w:rsidRPr="00B24C73">
        <w:rPr>
          <w:rFonts w:ascii="Aptos" w:eastAsia="Cambria" w:hAnsi="Aptos" w:cs="Cambria"/>
          <w:sz w:val="28"/>
          <w:szCs w:val="28"/>
        </w:rPr>
        <w:t xml:space="preserve"> </w:t>
      </w:r>
    </w:p>
    <w:p w14:paraId="68C8A0CC" w14:textId="4B6877A6" w:rsidR="00E906DD" w:rsidRPr="00B24C73" w:rsidRDefault="00B24C73" w:rsidP="00B24C73">
      <w:pPr>
        <w:spacing w:after="0" w:line="240" w:lineRule="auto"/>
        <w:jc w:val="both"/>
        <w:rPr>
          <w:rFonts w:ascii="Aptos" w:hAnsi="Aptos"/>
          <w:sz w:val="28"/>
          <w:szCs w:val="28"/>
        </w:rPr>
      </w:pPr>
      <w:r w:rsidRPr="00B24C73">
        <w:rPr>
          <w:rFonts w:ascii="Aptos" w:hAnsi="Aptos"/>
          <w:sz w:val="28"/>
          <w:szCs w:val="28"/>
        </w:rPr>
        <w:t>Nova bond</w:t>
      </w:r>
      <w:r w:rsidR="00000000" w:rsidRPr="00B24C73">
        <w:rPr>
          <w:rFonts w:ascii="Aptos" w:hAnsi="Aptos"/>
          <w:sz w:val="28"/>
          <w:szCs w:val="28"/>
        </w:rPr>
        <w:t xml:space="preserve"> Additive is an acrylic polymer additive specifically formulated to be mixed with Novatex </w:t>
      </w:r>
      <w:r w:rsidRPr="00B24C73">
        <w:rPr>
          <w:rFonts w:ascii="Aptos" w:hAnsi="Aptos"/>
          <w:sz w:val="28"/>
          <w:szCs w:val="28"/>
        </w:rPr>
        <w:t>cement-based</w:t>
      </w:r>
      <w:r w:rsidR="00000000" w:rsidRPr="00B24C73">
        <w:rPr>
          <w:rFonts w:ascii="Aptos" w:hAnsi="Aptos"/>
          <w:sz w:val="28"/>
          <w:szCs w:val="28"/>
        </w:rPr>
        <w:t xml:space="preserve"> renders and adhesives to increase strength and flexibility. </w:t>
      </w:r>
    </w:p>
    <w:p w14:paraId="73CD9A7B" w14:textId="7777777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 </w:t>
      </w:r>
    </w:p>
    <w:p w14:paraId="31AC61DC" w14:textId="34C1E066" w:rsidR="00E906DD" w:rsidRPr="00B24C73" w:rsidRDefault="00B24C73" w:rsidP="00B24C73">
      <w:pPr>
        <w:spacing w:after="0" w:line="240" w:lineRule="auto"/>
        <w:jc w:val="both"/>
        <w:rPr>
          <w:rFonts w:ascii="Aptos" w:hAnsi="Aptos"/>
          <w:sz w:val="28"/>
          <w:szCs w:val="28"/>
        </w:rPr>
      </w:pPr>
      <w:r w:rsidRPr="00B24C73">
        <w:rPr>
          <w:rFonts w:ascii="Aptos" w:hAnsi="Aptos"/>
          <w:sz w:val="28"/>
          <w:szCs w:val="28"/>
        </w:rPr>
        <w:t>Nova bond</w:t>
      </w:r>
      <w:r w:rsidR="00000000" w:rsidRPr="00B24C73">
        <w:rPr>
          <w:rFonts w:ascii="Aptos" w:hAnsi="Aptos"/>
          <w:sz w:val="28"/>
          <w:szCs w:val="28"/>
        </w:rPr>
        <w:t xml:space="preserve"> Additive can be mixed with Novatex Grouts when grouting over substrates prone to movement e.g. timber floors, lift foyers, train stations.  </w:t>
      </w:r>
    </w:p>
    <w:p w14:paraId="3D331475" w14:textId="671E697A" w:rsidR="00E906DD" w:rsidRDefault="00B24C73" w:rsidP="00B24C73">
      <w:pPr>
        <w:spacing w:after="0" w:line="240" w:lineRule="auto"/>
        <w:jc w:val="both"/>
        <w:rPr>
          <w:rFonts w:ascii="Aptos" w:hAnsi="Aptos"/>
          <w:sz w:val="28"/>
          <w:szCs w:val="28"/>
        </w:rPr>
      </w:pPr>
      <w:r w:rsidRPr="00B24C73">
        <w:rPr>
          <w:rFonts w:ascii="Aptos" w:hAnsi="Aptos"/>
          <w:noProof/>
          <w:sz w:val="28"/>
          <w:szCs w:val="28"/>
        </w:rPr>
        <w:drawing>
          <wp:anchor distT="0" distB="0" distL="114300" distR="114300" simplePos="0" relativeHeight="251659264" behindDoc="0" locked="0" layoutInCell="1" allowOverlap="0" wp14:anchorId="0D480829" wp14:editId="65553060">
            <wp:simplePos x="0" y="0"/>
            <wp:positionH relativeFrom="margin">
              <wp:posOffset>4962525</wp:posOffset>
            </wp:positionH>
            <wp:positionV relativeFrom="paragraph">
              <wp:posOffset>144780</wp:posOffset>
            </wp:positionV>
            <wp:extent cx="1543050" cy="1857375"/>
            <wp:effectExtent l="0" t="0" r="0" b="9525"/>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6"/>
                    <a:stretch>
                      <a:fillRect/>
                    </a:stretch>
                  </pic:blipFill>
                  <pic:spPr>
                    <a:xfrm>
                      <a:off x="0" y="0"/>
                      <a:ext cx="1543050" cy="1857375"/>
                    </a:xfrm>
                    <a:prstGeom prst="rect">
                      <a:avLst/>
                    </a:prstGeom>
                  </pic:spPr>
                </pic:pic>
              </a:graphicData>
            </a:graphic>
            <wp14:sizeRelH relativeFrom="margin">
              <wp14:pctWidth>0</wp14:pctWidth>
            </wp14:sizeRelH>
            <wp14:sizeRelV relativeFrom="margin">
              <wp14:pctHeight>0</wp14:pctHeight>
            </wp14:sizeRelV>
          </wp:anchor>
        </w:drawing>
      </w:r>
      <w:r w:rsidR="00000000" w:rsidRPr="00B24C73">
        <w:rPr>
          <w:rFonts w:ascii="Aptos" w:hAnsi="Aptos"/>
          <w:sz w:val="28"/>
          <w:szCs w:val="28"/>
        </w:rPr>
        <w:t xml:space="preserve"> </w:t>
      </w:r>
    </w:p>
    <w:p w14:paraId="40E6F154" w14:textId="77777777" w:rsidR="00B24C73" w:rsidRPr="00B24C73" w:rsidRDefault="00B24C73" w:rsidP="00B24C73">
      <w:pPr>
        <w:spacing w:after="0" w:line="240" w:lineRule="auto"/>
        <w:jc w:val="both"/>
        <w:rPr>
          <w:rFonts w:ascii="Aptos" w:hAnsi="Aptos"/>
          <w:sz w:val="28"/>
          <w:szCs w:val="28"/>
        </w:rPr>
      </w:pPr>
    </w:p>
    <w:p w14:paraId="6BA496AE" w14:textId="1BFA29B3" w:rsidR="00E906DD" w:rsidRPr="00B24C73" w:rsidRDefault="00B24C73" w:rsidP="00B24C73">
      <w:pPr>
        <w:spacing w:after="0" w:line="240" w:lineRule="auto"/>
        <w:jc w:val="both"/>
        <w:rPr>
          <w:rFonts w:ascii="Aptos" w:hAnsi="Aptos"/>
          <w:sz w:val="28"/>
          <w:szCs w:val="28"/>
        </w:rPr>
      </w:pPr>
      <w:r w:rsidRPr="00B24C73">
        <w:rPr>
          <w:rFonts w:ascii="Aptos" w:hAnsi="Aptos"/>
          <w:sz w:val="28"/>
          <w:szCs w:val="28"/>
        </w:rPr>
        <w:t>Nova bond</w:t>
      </w:r>
      <w:r w:rsidR="00000000" w:rsidRPr="00B24C73">
        <w:rPr>
          <w:rFonts w:ascii="Aptos" w:hAnsi="Aptos"/>
          <w:sz w:val="28"/>
          <w:szCs w:val="28"/>
        </w:rPr>
        <w:t xml:space="preserve"> Additive can be mixed with sand and cement for increased strength and </w:t>
      </w:r>
      <w:r w:rsidRPr="00B24C73">
        <w:rPr>
          <w:rFonts w:ascii="Aptos" w:hAnsi="Aptos"/>
          <w:sz w:val="28"/>
          <w:szCs w:val="28"/>
        </w:rPr>
        <w:t>flexibility and</w:t>
      </w:r>
      <w:r w:rsidR="00000000" w:rsidRPr="00B24C73">
        <w:rPr>
          <w:rFonts w:ascii="Aptos" w:hAnsi="Aptos"/>
          <w:sz w:val="28"/>
          <w:szCs w:val="28"/>
        </w:rPr>
        <w:t xml:space="preserve"> mixed with neat cement as a slurry coat.  </w:t>
      </w:r>
    </w:p>
    <w:p w14:paraId="24358AAC" w14:textId="7777777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 </w:t>
      </w:r>
    </w:p>
    <w:p w14:paraId="2C04BEFA" w14:textId="77777777" w:rsid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High polymer content giving it the capability to increase </w:t>
      </w:r>
      <w:r w:rsidR="00B24C73" w:rsidRPr="00B24C73">
        <w:rPr>
          <w:rFonts w:ascii="Aptos" w:hAnsi="Aptos"/>
          <w:sz w:val="28"/>
          <w:szCs w:val="28"/>
        </w:rPr>
        <w:t>adhesion.</w:t>
      </w:r>
      <w:r w:rsidRPr="00B24C73">
        <w:rPr>
          <w:rFonts w:ascii="Aptos" w:hAnsi="Aptos"/>
          <w:sz w:val="28"/>
          <w:szCs w:val="28"/>
        </w:rPr>
        <w:t xml:space="preserve"> </w:t>
      </w:r>
    </w:p>
    <w:p w14:paraId="3337BE36" w14:textId="77777777" w:rsidR="00B24C73" w:rsidRDefault="00B24C73" w:rsidP="00B24C73">
      <w:pPr>
        <w:spacing w:after="0" w:line="240" w:lineRule="auto"/>
        <w:jc w:val="both"/>
        <w:rPr>
          <w:rFonts w:ascii="Aptos" w:hAnsi="Aptos"/>
          <w:sz w:val="28"/>
          <w:szCs w:val="28"/>
        </w:rPr>
      </w:pPr>
    </w:p>
    <w:p w14:paraId="21035C92" w14:textId="77777777" w:rsidR="00B24C73" w:rsidRDefault="00B24C73" w:rsidP="00B24C73">
      <w:pPr>
        <w:spacing w:after="0" w:line="240" w:lineRule="auto"/>
        <w:jc w:val="both"/>
        <w:rPr>
          <w:rFonts w:ascii="Aptos" w:hAnsi="Aptos"/>
          <w:sz w:val="28"/>
          <w:szCs w:val="28"/>
        </w:rPr>
      </w:pPr>
    </w:p>
    <w:p w14:paraId="1B96A0D0" w14:textId="4A7FB9AF" w:rsidR="00E906DD" w:rsidRDefault="00000000" w:rsidP="00B24C73">
      <w:pPr>
        <w:spacing w:after="0" w:line="240" w:lineRule="auto"/>
        <w:jc w:val="both"/>
        <w:rPr>
          <w:rFonts w:ascii="Aptos" w:hAnsi="Aptos"/>
          <w:sz w:val="28"/>
          <w:szCs w:val="28"/>
        </w:rPr>
      </w:pPr>
      <w:r w:rsidRPr="00B24C73">
        <w:rPr>
          <w:rFonts w:ascii="Aptos" w:hAnsi="Aptos"/>
          <w:sz w:val="28"/>
          <w:szCs w:val="28"/>
        </w:rPr>
        <w:t xml:space="preserve">Unique formula allowing it to be mixed with any Novatex </w:t>
      </w:r>
      <w:r w:rsidR="00B24C73" w:rsidRPr="00B24C73">
        <w:rPr>
          <w:rFonts w:ascii="Aptos" w:hAnsi="Aptos"/>
          <w:sz w:val="28"/>
          <w:szCs w:val="28"/>
        </w:rPr>
        <w:t>cement-based</w:t>
      </w:r>
      <w:r w:rsidRPr="00B24C73">
        <w:rPr>
          <w:rFonts w:ascii="Aptos" w:hAnsi="Aptos"/>
          <w:sz w:val="28"/>
          <w:szCs w:val="28"/>
        </w:rPr>
        <w:t xml:space="preserve"> </w:t>
      </w:r>
      <w:r w:rsidR="00B24C73" w:rsidRPr="00B24C73">
        <w:rPr>
          <w:rFonts w:ascii="Aptos" w:hAnsi="Aptos"/>
          <w:sz w:val="28"/>
          <w:szCs w:val="28"/>
        </w:rPr>
        <w:t>product.</w:t>
      </w:r>
      <w:r w:rsidRPr="00B24C73">
        <w:rPr>
          <w:rFonts w:ascii="Aptos" w:hAnsi="Aptos"/>
          <w:sz w:val="28"/>
          <w:szCs w:val="28"/>
        </w:rPr>
        <w:t xml:space="preserve"> </w:t>
      </w:r>
    </w:p>
    <w:p w14:paraId="26F1EEB1" w14:textId="77777777" w:rsidR="00B24C73" w:rsidRPr="00B24C73" w:rsidRDefault="00B24C73" w:rsidP="00B24C73">
      <w:pPr>
        <w:spacing w:after="0" w:line="240" w:lineRule="auto"/>
        <w:jc w:val="both"/>
        <w:rPr>
          <w:rFonts w:ascii="Aptos" w:hAnsi="Aptos"/>
          <w:sz w:val="28"/>
          <w:szCs w:val="28"/>
        </w:rPr>
      </w:pPr>
    </w:p>
    <w:p w14:paraId="7CA41A4F" w14:textId="0C1424F9" w:rsidR="00E906DD" w:rsidRDefault="00000000" w:rsidP="00B24C73">
      <w:pPr>
        <w:spacing w:after="0" w:line="240" w:lineRule="auto"/>
        <w:jc w:val="both"/>
        <w:rPr>
          <w:rFonts w:ascii="Aptos" w:hAnsi="Aptos"/>
          <w:sz w:val="28"/>
          <w:szCs w:val="28"/>
        </w:rPr>
      </w:pPr>
      <w:r w:rsidRPr="00B24C73">
        <w:rPr>
          <w:rFonts w:ascii="Aptos" w:hAnsi="Aptos"/>
          <w:sz w:val="28"/>
          <w:szCs w:val="28"/>
        </w:rPr>
        <w:t xml:space="preserve">When mixed with Nova grout allows grout to be used as </w:t>
      </w:r>
      <w:r w:rsidR="00B24C73" w:rsidRPr="00B24C73">
        <w:rPr>
          <w:rFonts w:ascii="Aptos" w:hAnsi="Aptos"/>
          <w:sz w:val="28"/>
          <w:szCs w:val="28"/>
        </w:rPr>
        <w:t>adhesive</w:t>
      </w:r>
      <w:r w:rsidR="00B24C73">
        <w:rPr>
          <w:rFonts w:ascii="Aptos" w:hAnsi="Aptos"/>
          <w:sz w:val="28"/>
          <w:szCs w:val="28"/>
        </w:rPr>
        <w:t>.</w:t>
      </w:r>
    </w:p>
    <w:p w14:paraId="2106886B" w14:textId="77777777" w:rsidR="00B24C73" w:rsidRPr="00B24C73" w:rsidRDefault="00B24C73" w:rsidP="00B24C73">
      <w:pPr>
        <w:spacing w:after="0" w:line="240" w:lineRule="auto"/>
        <w:jc w:val="both"/>
        <w:rPr>
          <w:rFonts w:ascii="Aptos" w:hAnsi="Aptos"/>
          <w:sz w:val="28"/>
          <w:szCs w:val="28"/>
        </w:rPr>
      </w:pPr>
    </w:p>
    <w:p w14:paraId="3E92453B" w14:textId="7777777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Low VOC content which easily meets Green Building Council of Australia Green Star IEQ-13 requirements. </w:t>
      </w:r>
    </w:p>
    <w:p w14:paraId="0C76BE15" w14:textId="0FC33E2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 </w:t>
      </w:r>
    </w:p>
    <w:p w14:paraId="4266D058" w14:textId="7777777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 </w:t>
      </w:r>
    </w:p>
    <w:p w14:paraId="7D5399F4" w14:textId="77777777" w:rsidR="00E906DD" w:rsidRPr="00B24C73" w:rsidRDefault="00000000" w:rsidP="00B24C73">
      <w:pPr>
        <w:spacing w:after="0" w:line="240" w:lineRule="auto"/>
        <w:jc w:val="both"/>
        <w:rPr>
          <w:rFonts w:ascii="Aptos" w:hAnsi="Aptos"/>
          <w:sz w:val="28"/>
          <w:szCs w:val="28"/>
        </w:rPr>
      </w:pPr>
      <w:r w:rsidRPr="00B24C73">
        <w:rPr>
          <w:rFonts w:ascii="Aptos" w:hAnsi="Aptos"/>
          <w:sz w:val="28"/>
          <w:szCs w:val="28"/>
        </w:rPr>
        <w:t xml:space="preserve"> </w:t>
      </w:r>
    </w:p>
    <w:p w14:paraId="0B462B9E" w14:textId="77777777" w:rsidR="00E906DD"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520361FF" w14:textId="77777777" w:rsidR="00B24C73" w:rsidRDefault="00B24C73" w:rsidP="00B24C73">
      <w:pPr>
        <w:spacing w:after="0" w:line="240" w:lineRule="auto"/>
        <w:jc w:val="both"/>
        <w:rPr>
          <w:rFonts w:ascii="Aptos" w:hAnsi="Aptos"/>
          <w:sz w:val="20"/>
          <w:szCs w:val="20"/>
        </w:rPr>
      </w:pPr>
    </w:p>
    <w:p w14:paraId="2E796C38" w14:textId="77777777" w:rsidR="00B24C73" w:rsidRDefault="00B24C73" w:rsidP="00B24C73">
      <w:pPr>
        <w:spacing w:after="0" w:line="240" w:lineRule="auto"/>
        <w:jc w:val="both"/>
        <w:rPr>
          <w:rFonts w:ascii="Aptos" w:hAnsi="Aptos"/>
          <w:sz w:val="20"/>
          <w:szCs w:val="20"/>
        </w:rPr>
      </w:pPr>
    </w:p>
    <w:p w14:paraId="4ED1F197" w14:textId="77777777" w:rsidR="00B24C73" w:rsidRDefault="00B24C73" w:rsidP="00B24C73">
      <w:pPr>
        <w:spacing w:after="0" w:line="240" w:lineRule="auto"/>
        <w:jc w:val="both"/>
        <w:rPr>
          <w:rFonts w:ascii="Aptos" w:hAnsi="Aptos"/>
          <w:sz w:val="20"/>
          <w:szCs w:val="20"/>
        </w:rPr>
      </w:pPr>
    </w:p>
    <w:p w14:paraId="5664EA4B" w14:textId="77777777" w:rsidR="00B24C73" w:rsidRDefault="00B24C73" w:rsidP="00B24C73">
      <w:pPr>
        <w:spacing w:after="0" w:line="240" w:lineRule="auto"/>
        <w:jc w:val="both"/>
        <w:rPr>
          <w:rFonts w:ascii="Aptos" w:hAnsi="Aptos"/>
          <w:sz w:val="20"/>
          <w:szCs w:val="20"/>
        </w:rPr>
      </w:pPr>
    </w:p>
    <w:p w14:paraId="70E7E1CB" w14:textId="77777777" w:rsidR="00B24C73" w:rsidRDefault="00B24C73" w:rsidP="00B24C73">
      <w:pPr>
        <w:spacing w:after="0" w:line="240" w:lineRule="auto"/>
        <w:jc w:val="both"/>
        <w:rPr>
          <w:rFonts w:ascii="Aptos" w:hAnsi="Aptos"/>
          <w:sz w:val="20"/>
          <w:szCs w:val="20"/>
        </w:rPr>
      </w:pPr>
    </w:p>
    <w:p w14:paraId="1F7C2141" w14:textId="4560F859" w:rsidR="00B24C73" w:rsidRDefault="00B24C73" w:rsidP="00B24C73">
      <w:pPr>
        <w:spacing w:after="0" w:line="240" w:lineRule="auto"/>
        <w:jc w:val="both"/>
        <w:rPr>
          <w:rFonts w:ascii="Aptos" w:hAnsi="Aptos"/>
          <w:sz w:val="20"/>
          <w:szCs w:val="20"/>
        </w:rPr>
      </w:pPr>
    </w:p>
    <w:p w14:paraId="45627C69" w14:textId="77777777" w:rsidR="00B24C73" w:rsidRDefault="00B24C73" w:rsidP="00B24C73">
      <w:pPr>
        <w:spacing w:after="0" w:line="240" w:lineRule="auto"/>
        <w:jc w:val="both"/>
        <w:rPr>
          <w:rFonts w:ascii="Aptos" w:hAnsi="Aptos"/>
          <w:sz w:val="20"/>
          <w:szCs w:val="20"/>
        </w:rPr>
      </w:pPr>
    </w:p>
    <w:p w14:paraId="68D0F85A" w14:textId="353AAC8B" w:rsidR="00B24C73" w:rsidRDefault="00B24C73" w:rsidP="00B24C73">
      <w:pPr>
        <w:spacing w:after="0" w:line="240" w:lineRule="auto"/>
        <w:jc w:val="both"/>
        <w:rPr>
          <w:rFonts w:ascii="Aptos" w:hAnsi="Aptos"/>
          <w:sz w:val="20"/>
          <w:szCs w:val="20"/>
        </w:rPr>
      </w:pPr>
    </w:p>
    <w:p w14:paraId="7A8CADD0" w14:textId="61FF53FB" w:rsidR="00B24C73" w:rsidRDefault="00B24C73" w:rsidP="00B24C73">
      <w:pPr>
        <w:spacing w:after="0" w:line="240" w:lineRule="auto"/>
        <w:jc w:val="both"/>
        <w:rPr>
          <w:rFonts w:ascii="Aptos" w:hAnsi="Aptos"/>
          <w:sz w:val="20"/>
          <w:szCs w:val="20"/>
        </w:rPr>
      </w:pPr>
      <w:r>
        <w:rPr>
          <w:rFonts w:ascii="Aptos" w:hAnsi="Aptos"/>
          <w:noProof/>
          <w:sz w:val="20"/>
          <w:szCs w:val="20"/>
        </w:rPr>
        <w:drawing>
          <wp:anchor distT="0" distB="0" distL="114300" distR="114300" simplePos="0" relativeHeight="251662336" behindDoc="0" locked="0" layoutInCell="1" allowOverlap="1" wp14:anchorId="56489667" wp14:editId="1B45AD50">
            <wp:simplePos x="0" y="0"/>
            <wp:positionH relativeFrom="margin">
              <wp:align>right</wp:align>
            </wp:positionH>
            <wp:positionV relativeFrom="paragraph">
              <wp:posOffset>246380</wp:posOffset>
            </wp:positionV>
            <wp:extent cx="6645910" cy="847090"/>
            <wp:effectExtent l="0" t="0" r="2540" b="0"/>
            <wp:wrapSquare wrapText="bothSides"/>
            <wp:docPr id="1086128931" name="Picture 1"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28931" name="Picture 1" descr="A green logo with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47090"/>
                    </a:xfrm>
                    <a:prstGeom prst="rect">
                      <a:avLst/>
                    </a:prstGeom>
                    <a:noFill/>
                    <a:ln>
                      <a:noFill/>
                    </a:ln>
                  </pic:spPr>
                </pic:pic>
              </a:graphicData>
            </a:graphic>
          </wp:anchor>
        </w:drawing>
      </w:r>
    </w:p>
    <w:p w14:paraId="109C5264" w14:textId="5667287A" w:rsidR="00B24C73" w:rsidRPr="00B24C73" w:rsidRDefault="00B24C73" w:rsidP="00B24C73">
      <w:pPr>
        <w:spacing w:after="0" w:line="240" w:lineRule="auto"/>
        <w:jc w:val="center"/>
        <w:rPr>
          <w:rFonts w:ascii="Britannic Bold" w:hAnsi="Britannic Bold"/>
          <w:sz w:val="60"/>
          <w:szCs w:val="60"/>
        </w:rPr>
      </w:pPr>
      <w:r w:rsidRPr="00B24C73">
        <w:rPr>
          <w:rFonts w:ascii="Britannic Bold" w:hAnsi="Britannic Bold"/>
          <w:sz w:val="40"/>
          <w:szCs w:val="40"/>
        </w:rPr>
        <w:lastRenderedPageBreak/>
        <w:t xml:space="preserve">NOVABOND </w:t>
      </w:r>
      <w:r w:rsidRPr="00B24C73">
        <w:rPr>
          <w:rFonts w:ascii="Britannic Bold" w:hAnsi="Britannic Bold"/>
          <w:color w:val="FF0000"/>
          <w:sz w:val="40"/>
          <w:szCs w:val="40"/>
        </w:rPr>
        <w:t>ADDITIV</w:t>
      </w:r>
      <w:r w:rsidRPr="00B24C73">
        <w:rPr>
          <w:rFonts w:ascii="Britannic Bold" w:hAnsi="Britannic Bold"/>
          <w:color w:val="FF0000"/>
          <w:sz w:val="40"/>
          <w:szCs w:val="40"/>
        </w:rPr>
        <w:t xml:space="preserve">E: </w:t>
      </w:r>
      <w:r w:rsidRPr="00B24C73">
        <w:rPr>
          <w:rFonts w:ascii="Aptos" w:eastAsia="Cambria" w:hAnsi="Aptos" w:cs="Cambria"/>
          <w:sz w:val="28"/>
          <w:szCs w:val="28"/>
        </w:rPr>
        <w:t>SPECIALLY DESIGNED ACRYLIC POLYMER ADDITIVE</w:t>
      </w:r>
    </w:p>
    <w:p w14:paraId="55A518E8" w14:textId="77777777" w:rsidR="00B24C73" w:rsidRDefault="00B24C73" w:rsidP="00B24C73">
      <w:pPr>
        <w:spacing w:after="0" w:line="240" w:lineRule="auto"/>
        <w:jc w:val="both"/>
        <w:rPr>
          <w:rFonts w:ascii="Aptos" w:hAnsi="Aptos"/>
        </w:rPr>
      </w:pPr>
    </w:p>
    <w:p w14:paraId="5F48AB7D" w14:textId="7E4C7157" w:rsidR="00E906DD" w:rsidRPr="00B24C73" w:rsidRDefault="00000000" w:rsidP="00B24C73">
      <w:pPr>
        <w:spacing w:after="0" w:line="240" w:lineRule="auto"/>
        <w:jc w:val="both"/>
        <w:rPr>
          <w:rFonts w:ascii="Aptos" w:hAnsi="Aptos"/>
        </w:rPr>
      </w:pPr>
      <w:r w:rsidRPr="00B24C73">
        <w:rPr>
          <w:rFonts w:ascii="Aptos" w:hAnsi="Aptos"/>
          <w:noProof/>
        </w:rPr>
        <w:drawing>
          <wp:anchor distT="0" distB="0" distL="114300" distR="114300" simplePos="0" relativeHeight="251661312" behindDoc="0" locked="0" layoutInCell="1" allowOverlap="0" wp14:anchorId="7402FC9B" wp14:editId="31A1C071">
            <wp:simplePos x="0" y="0"/>
            <wp:positionH relativeFrom="column">
              <wp:posOffset>-67817</wp:posOffset>
            </wp:positionH>
            <wp:positionV relativeFrom="paragraph">
              <wp:posOffset>42799</wp:posOffset>
            </wp:positionV>
            <wp:extent cx="785495" cy="7437121"/>
            <wp:effectExtent l="0" t="0" r="0" b="0"/>
            <wp:wrapSquare wrapText="bothSides"/>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5"/>
                    <a:stretch>
                      <a:fillRect/>
                    </a:stretch>
                  </pic:blipFill>
                  <pic:spPr>
                    <a:xfrm>
                      <a:off x="0" y="0"/>
                      <a:ext cx="785495" cy="7437121"/>
                    </a:xfrm>
                    <a:prstGeom prst="rect">
                      <a:avLst/>
                    </a:prstGeom>
                  </pic:spPr>
                </pic:pic>
              </a:graphicData>
            </a:graphic>
          </wp:anchor>
        </w:drawing>
      </w:r>
      <w:r w:rsidRPr="00B24C73">
        <w:rPr>
          <w:rFonts w:ascii="Aptos" w:hAnsi="Aptos"/>
        </w:rPr>
        <w:t xml:space="preserve">Mixing  </w:t>
      </w:r>
    </w:p>
    <w:p w14:paraId="1936D8C2" w14:textId="2E9A572F" w:rsidR="00E906DD" w:rsidRDefault="00000000" w:rsidP="00B24C73">
      <w:pPr>
        <w:spacing w:after="0" w:line="240" w:lineRule="auto"/>
        <w:jc w:val="both"/>
        <w:rPr>
          <w:rFonts w:ascii="Aptos" w:hAnsi="Aptos"/>
          <w:sz w:val="20"/>
          <w:szCs w:val="20"/>
        </w:rPr>
      </w:pPr>
      <w:r w:rsidRPr="00B24C73">
        <w:rPr>
          <w:rFonts w:ascii="Aptos" w:hAnsi="Aptos"/>
          <w:sz w:val="20"/>
          <w:szCs w:val="20"/>
        </w:rPr>
        <w:t xml:space="preserve">When mixing with grout mix 1 part additive to 3 parts </w:t>
      </w:r>
      <w:r w:rsidR="00B24C73" w:rsidRPr="00B24C73">
        <w:rPr>
          <w:rFonts w:ascii="Aptos" w:hAnsi="Aptos"/>
          <w:sz w:val="20"/>
          <w:szCs w:val="20"/>
        </w:rPr>
        <w:t>waters</w:t>
      </w:r>
      <w:r w:rsidR="00B24C73">
        <w:rPr>
          <w:rFonts w:ascii="Aptos" w:hAnsi="Aptos"/>
          <w:sz w:val="20"/>
          <w:szCs w:val="20"/>
        </w:rPr>
        <w:t>. W</w:t>
      </w:r>
      <w:r w:rsidRPr="00B24C73">
        <w:rPr>
          <w:rFonts w:ascii="Aptos" w:hAnsi="Aptos"/>
          <w:sz w:val="20"/>
          <w:szCs w:val="20"/>
        </w:rPr>
        <w:t xml:space="preserve">hen mixing with Novatex adhesives for swimming pool application mix 1 part additive to 2 parts </w:t>
      </w:r>
      <w:r w:rsidR="00B24C73" w:rsidRPr="00B24C73">
        <w:rPr>
          <w:rFonts w:ascii="Aptos" w:hAnsi="Aptos"/>
          <w:sz w:val="20"/>
          <w:szCs w:val="20"/>
        </w:rPr>
        <w:t>waters</w:t>
      </w:r>
      <w:r w:rsidRPr="00B24C73">
        <w:rPr>
          <w:rFonts w:ascii="Aptos" w:hAnsi="Aptos"/>
          <w:sz w:val="20"/>
          <w:szCs w:val="20"/>
        </w:rPr>
        <w:t xml:space="preserve"> then use this as gauging liquid for adhesive.</w:t>
      </w:r>
      <w:r w:rsidR="00B24C73">
        <w:rPr>
          <w:rFonts w:ascii="Aptos" w:hAnsi="Aptos"/>
          <w:sz w:val="20"/>
          <w:szCs w:val="20"/>
        </w:rPr>
        <w:t xml:space="preserve"> </w:t>
      </w:r>
      <w:r w:rsidRPr="00B24C73">
        <w:rPr>
          <w:rFonts w:ascii="Aptos" w:hAnsi="Aptos"/>
          <w:sz w:val="20"/>
          <w:szCs w:val="20"/>
        </w:rPr>
        <w:t xml:space="preserve">When using as a slurry coat mix </w:t>
      </w:r>
      <w:r w:rsidR="00B24C73" w:rsidRPr="00B24C73">
        <w:rPr>
          <w:rFonts w:ascii="Aptos" w:hAnsi="Aptos"/>
          <w:sz w:val="20"/>
          <w:szCs w:val="20"/>
        </w:rPr>
        <w:t>1-part</w:t>
      </w:r>
      <w:r w:rsidRPr="00B24C73">
        <w:rPr>
          <w:rFonts w:ascii="Aptos" w:hAnsi="Aptos"/>
          <w:sz w:val="20"/>
          <w:szCs w:val="20"/>
        </w:rPr>
        <w:t xml:space="preserve"> neat cement with 1-part </w:t>
      </w:r>
      <w:r w:rsidR="00B24C73" w:rsidRPr="00B24C73">
        <w:rPr>
          <w:rFonts w:ascii="Aptos" w:hAnsi="Aptos"/>
          <w:sz w:val="20"/>
          <w:szCs w:val="20"/>
        </w:rPr>
        <w:t>Nova bond</w:t>
      </w:r>
      <w:r w:rsidRPr="00B24C73">
        <w:rPr>
          <w:rFonts w:ascii="Aptos" w:hAnsi="Aptos"/>
          <w:sz w:val="20"/>
          <w:szCs w:val="20"/>
        </w:rPr>
        <w:t xml:space="preserve"> Additive.</w:t>
      </w:r>
      <w:r w:rsidR="00B24C73">
        <w:rPr>
          <w:rFonts w:ascii="Aptos" w:hAnsi="Aptos"/>
          <w:sz w:val="20"/>
          <w:szCs w:val="20"/>
        </w:rPr>
        <w:t xml:space="preserve"> </w:t>
      </w:r>
      <w:r w:rsidRPr="00B24C73">
        <w:rPr>
          <w:rFonts w:ascii="Aptos" w:hAnsi="Aptos"/>
          <w:sz w:val="20"/>
          <w:szCs w:val="20"/>
        </w:rPr>
        <w:t xml:space="preserve">When mixing with Novatex Renders mix 1 part additive to 3 parts water the use this as gauging liquid for renders.  </w:t>
      </w:r>
    </w:p>
    <w:p w14:paraId="2E794B59" w14:textId="77777777" w:rsidR="00B24C73" w:rsidRPr="00B24C73" w:rsidRDefault="00B24C73" w:rsidP="00B24C73">
      <w:pPr>
        <w:spacing w:after="0" w:line="240" w:lineRule="auto"/>
        <w:jc w:val="both"/>
        <w:rPr>
          <w:rFonts w:ascii="Aptos" w:hAnsi="Aptos"/>
          <w:sz w:val="20"/>
          <w:szCs w:val="20"/>
        </w:rPr>
      </w:pPr>
    </w:p>
    <w:p w14:paraId="68265B79" w14:textId="344D402D" w:rsidR="00E906DD" w:rsidRPr="00B24C73" w:rsidRDefault="00000000" w:rsidP="00B24C73">
      <w:pPr>
        <w:spacing w:after="0" w:line="240" w:lineRule="auto"/>
        <w:jc w:val="both"/>
        <w:rPr>
          <w:rFonts w:ascii="Aptos" w:hAnsi="Aptos"/>
        </w:rPr>
      </w:pPr>
      <w:r w:rsidRPr="00B24C73">
        <w:rPr>
          <w:rFonts w:ascii="Aptos" w:hAnsi="Aptos"/>
        </w:rPr>
        <w:t xml:space="preserve">Clean </w:t>
      </w:r>
      <w:r w:rsidR="00B24C73" w:rsidRPr="00B24C73">
        <w:rPr>
          <w:rFonts w:ascii="Aptos" w:hAnsi="Aptos"/>
        </w:rPr>
        <w:t>up.</w:t>
      </w:r>
      <w:r w:rsidRPr="00B24C73">
        <w:rPr>
          <w:rFonts w:ascii="Aptos" w:hAnsi="Aptos"/>
        </w:rPr>
        <w:t xml:space="preserve">  </w:t>
      </w:r>
    </w:p>
    <w:p w14:paraId="229026BA" w14:textId="77777777" w:rsidR="00E906DD" w:rsidRDefault="00000000" w:rsidP="00B24C73">
      <w:pPr>
        <w:spacing w:after="0" w:line="240" w:lineRule="auto"/>
        <w:jc w:val="both"/>
        <w:rPr>
          <w:rFonts w:ascii="Aptos" w:hAnsi="Aptos"/>
          <w:sz w:val="20"/>
          <w:szCs w:val="20"/>
        </w:rPr>
      </w:pPr>
      <w:r w:rsidRPr="00B24C73">
        <w:rPr>
          <w:rFonts w:ascii="Aptos" w:hAnsi="Aptos"/>
          <w:sz w:val="20"/>
          <w:szCs w:val="20"/>
        </w:rPr>
        <w:t xml:space="preserve">Tools and other equipment can be cleaned up using water while the additive is still wet.  </w:t>
      </w:r>
    </w:p>
    <w:p w14:paraId="74F8CA28" w14:textId="77777777" w:rsidR="00B24C73" w:rsidRPr="00B24C73" w:rsidRDefault="00B24C73" w:rsidP="00B24C73">
      <w:pPr>
        <w:spacing w:after="0" w:line="240" w:lineRule="auto"/>
        <w:jc w:val="both"/>
        <w:rPr>
          <w:rFonts w:ascii="Aptos" w:hAnsi="Aptos"/>
        </w:rPr>
      </w:pPr>
    </w:p>
    <w:p w14:paraId="36D1A2DC" w14:textId="77777777" w:rsidR="00B24C73" w:rsidRPr="00B24C73" w:rsidRDefault="00000000" w:rsidP="00B24C73">
      <w:pPr>
        <w:spacing w:after="0" w:line="240" w:lineRule="auto"/>
        <w:jc w:val="both"/>
        <w:rPr>
          <w:rFonts w:ascii="Aptos" w:hAnsi="Aptos"/>
        </w:rPr>
      </w:pPr>
      <w:r w:rsidRPr="00B24C73">
        <w:rPr>
          <w:rFonts w:ascii="Aptos" w:hAnsi="Aptos"/>
        </w:rPr>
        <w:t xml:space="preserve">Coverage  </w:t>
      </w:r>
    </w:p>
    <w:p w14:paraId="6C2109C1" w14:textId="0A4C93E0" w:rsidR="00E906DD" w:rsidRDefault="00000000" w:rsidP="00B24C73">
      <w:pPr>
        <w:spacing w:after="0" w:line="240" w:lineRule="auto"/>
        <w:jc w:val="both"/>
        <w:rPr>
          <w:rFonts w:ascii="Aptos" w:hAnsi="Aptos"/>
          <w:sz w:val="20"/>
          <w:szCs w:val="20"/>
        </w:rPr>
      </w:pPr>
      <w:r w:rsidRPr="00B24C73">
        <w:rPr>
          <w:rFonts w:ascii="Aptos" w:hAnsi="Aptos"/>
          <w:sz w:val="20"/>
          <w:szCs w:val="20"/>
        </w:rPr>
        <w:t xml:space="preserve">Coverage of </w:t>
      </w:r>
      <w:r w:rsidR="00B24C73" w:rsidRPr="00B24C73">
        <w:rPr>
          <w:rFonts w:ascii="Aptos" w:hAnsi="Aptos"/>
          <w:sz w:val="20"/>
          <w:szCs w:val="20"/>
        </w:rPr>
        <w:t>Nova bond</w:t>
      </w:r>
      <w:r w:rsidRPr="00B24C73">
        <w:rPr>
          <w:rFonts w:ascii="Aptos" w:hAnsi="Aptos"/>
          <w:sz w:val="20"/>
          <w:szCs w:val="20"/>
        </w:rPr>
        <w:t xml:space="preserve"> Additive will vary depending on application.  </w:t>
      </w:r>
    </w:p>
    <w:p w14:paraId="34D83D42" w14:textId="77777777" w:rsidR="00B24C73" w:rsidRPr="00B24C73" w:rsidRDefault="00B24C73" w:rsidP="00B24C73">
      <w:pPr>
        <w:spacing w:after="0" w:line="240" w:lineRule="auto"/>
        <w:jc w:val="both"/>
        <w:rPr>
          <w:rFonts w:ascii="Aptos" w:hAnsi="Aptos"/>
        </w:rPr>
      </w:pPr>
    </w:p>
    <w:p w14:paraId="4FE8C90D" w14:textId="77777777" w:rsidR="00B24C73" w:rsidRPr="00B24C73" w:rsidRDefault="00000000" w:rsidP="00B24C73">
      <w:pPr>
        <w:spacing w:after="0" w:line="240" w:lineRule="auto"/>
        <w:jc w:val="both"/>
        <w:rPr>
          <w:rFonts w:ascii="Aptos" w:hAnsi="Aptos"/>
        </w:rPr>
      </w:pPr>
      <w:r w:rsidRPr="00B24C73">
        <w:rPr>
          <w:rFonts w:ascii="Aptos" w:hAnsi="Aptos"/>
        </w:rPr>
        <w:t xml:space="preserve">Packaging </w:t>
      </w:r>
    </w:p>
    <w:p w14:paraId="3349DE3D" w14:textId="7A815D64" w:rsidR="00E906DD" w:rsidRPr="00B24C73" w:rsidRDefault="00B24C73" w:rsidP="00B24C73">
      <w:pPr>
        <w:spacing w:after="0" w:line="240" w:lineRule="auto"/>
        <w:jc w:val="both"/>
        <w:rPr>
          <w:rFonts w:ascii="Aptos" w:hAnsi="Aptos"/>
          <w:sz w:val="20"/>
          <w:szCs w:val="20"/>
        </w:rPr>
      </w:pPr>
      <w:r w:rsidRPr="00B24C73">
        <w:rPr>
          <w:rFonts w:ascii="Aptos" w:hAnsi="Aptos"/>
          <w:sz w:val="20"/>
          <w:szCs w:val="20"/>
        </w:rPr>
        <w:t>Nova bond</w:t>
      </w:r>
      <w:r w:rsidR="00000000" w:rsidRPr="00B24C73">
        <w:rPr>
          <w:rFonts w:ascii="Aptos" w:hAnsi="Aptos"/>
          <w:sz w:val="20"/>
          <w:szCs w:val="20"/>
        </w:rPr>
        <w:t xml:space="preserve"> Additive is available in 1 litre and 5 litre jerry cans and 20 litre cubes.  </w:t>
      </w:r>
    </w:p>
    <w:p w14:paraId="33DFA4D3" w14:textId="77777777" w:rsidR="00E906DD" w:rsidRPr="00B24C73" w:rsidRDefault="00000000" w:rsidP="00B24C73">
      <w:pPr>
        <w:spacing w:after="0" w:line="240" w:lineRule="auto"/>
        <w:jc w:val="both"/>
        <w:rPr>
          <w:rFonts w:ascii="Aptos" w:hAnsi="Aptos"/>
        </w:rPr>
      </w:pPr>
      <w:r w:rsidRPr="00B24C73">
        <w:rPr>
          <w:rFonts w:ascii="Aptos" w:hAnsi="Aptos"/>
        </w:rPr>
        <w:t xml:space="preserve"> </w:t>
      </w:r>
    </w:p>
    <w:p w14:paraId="25C30440" w14:textId="77777777" w:rsidR="00E906DD" w:rsidRPr="00B24C73" w:rsidRDefault="00000000" w:rsidP="00B24C73">
      <w:pPr>
        <w:spacing w:after="0" w:line="240" w:lineRule="auto"/>
        <w:jc w:val="both"/>
        <w:rPr>
          <w:rFonts w:ascii="Aptos" w:hAnsi="Aptos"/>
        </w:rPr>
      </w:pPr>
      <w:r w:rsidRPr="00B24C73">
        <w:rPr>
          <w:rFonts w:ascii="Aptos" w:hAnsi="Aptos"/>
        </w:rPr>
        <w:t xml:space="preserve">Shelf life </w:t>
      </w:r>
    </w:p>
    <w:p w14:paraId="4586DDAC" w14:textId="6B62AB40"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A pail of </w:t>
      </w:r>
      <w:r w:rsidR="00B24C73" w:rsidRPr="00B24C73">
        <w:rPr>
          <w:rFonts w:ascii="Aptos" w:hAnsi="Aptos"/>
          <w:sz w:val="20"/>
          <w:szCs w:val="20"/>
        </w:rPr>
        <w:t>Nova bond</w:t>
      </w:r>
      <w:r w:rsidRPr="00B24C73">
        <w:rPr>
          <w:rFonts w:ascii="Aptos" w:hAnsi="Aptos"/>
          <w:sz w:val="20"/>
          <w:szCs w:val="20"/>
        </w:rPr>
        <w:t xml:space="preserve"> Additive, when kept in a cool, dry environment, and stored above ground level, will have a shelf life of approximately 12 months.  </w:t>
      </w:r>
    </w:p>
    <w:p w14:paraId="61F2E1D4"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3DCE73C2" w14:textId="77777777" w:rsidR="00E906DD" w:rsidRPr="00B24C73" w:rsidRDefault="00000000" w:rsidP="00B24C73">
      <w:pPr>
        <w:spacing w:after="0" w:line="240" w:lineRule="auto"/>
        <w:jc w:val="both"/>
        <w:rPr>
          <w:rFonts w:ascii="Aptos" w:hAnsi="Aptos"/>
        </w:rPr>
      </w:pPr>
      <w:r w:rsidRPr="00B24C73">
        <w:rPr>
          <w:rFonts w:ascii="Aptos" w:hAnsi="Aptos"/>
        </w:rPr>
        <w:t xml:space="preserve">Precautions </w:t>
      </w:r>
    </w:p>
    <w:p w14:paraId="343BA8FA" w14:textId="37D89310" w:rsidR="00E906DD" w:rsidRPr="00B24C73" w:rsidRDefault="00B24C73" w:rsidP="00B24C73">
      <w:pPr>
        <w:spacing w:after="0" w:line="240" w:lineRule="auto"/>
        <w:jc w:val="both"/>
        <w:rPr>
          <w:rFonts w:ascii="Aptos" w:hAnsi="Aptos"/>
          <w:sz w:val="20"/>
          <w:szCs w:val="20"/>
        </w:rPr>
      </w:pPr>
      <w:r w:rsidRPr="00B24C73">
        <w:rPr>
          <w:rFonts w:ascii="Aptos" w:hAnsi="Aptos"/>
          <w:sz w:val="20"/>
          <w:szCs w:val="20"/>
        </w:rPr>
        <w:t>Nova bond</w:t>
      </w:r>
      <w:r w:rsidR="00000000" w:rsidRPr="00B24C73">
        <w:rPr>
          <w:rFonts w:ascii="Aptos" w:hAnsi="Aptos"/>
          <w:sz w:val="20"/>
          <w:szCs w:val="20"/>
        </w:rPr>
        <w:t xml:space="preserve"> Additive is a non-Hazardous product. It is water based and non-flammable. In case of eye contamination, rinse thoroughly with clean water. If irritation persists, seek medical advice. Do not apply where damp or Hydrostatic pressure is evident. For applications/situations not mentioned contact Novatex office. The manufacturer is not responsible for any loss or damage arising from incorrect use. The use of this product is beyond the control of the manufacturer and liability is restricted to the replacement of material proven faulty. </w:t>
      </w:r>
    </w:p>
    <w:p w14:paraId="6FCE4DF1"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58910F8F" w14:textId="77777777" w:rsidR="00E906DD" w:rsidRPr="00B24C73" w:rsidRDefault="00000000" w:rsidP="00B24C73">
      <w:pPr>
        <w:spacing w:after="0" w:line="240" w:lineRule="auto"/>
        <w:jc w:val="both"/>
        <w:rPr>
          <w:rFonts w:ascii="Aptos" w:hAnsi="Aptos"/>
        </w:rPr>
      </w:pPr>
      <w:r w:rsidRPr="00B24C73">
        <w:rPr>
          <w:rFonts w:ascii="Aptos" w:hAnsi="Aptos"/>
        </w:rPr>
        <w:t xml:space="preserve">Health and Safety </w:t>
      </w:r>
    </w:p>
    <w:p w14:paraId="500EC846" w14:textId="34D7ED81" w:rsidR="00E906DD" w:rsidRPr="00B24C73" w:rsidRDefault="00B24C73" w:rsidP="00B24C73">
      <w:pPr>
        <w:spacing w:after="0" w:line="240" w:lineRule="auto"/>
        <w:jc w:val="both"/>
        <w:rPr>
          <w:rFonts w:ascii="Aptos" w:hAnsi="Aptos"/>
          <w:sz w:val="20"/>
          <w:szCs w:val="20"/>
        </w:rPr>
      </w:pPr>
      <w:r w:rsidRPr="00B24C73">
        <w:rPr>
          <w:rFonts w:ascii="Aptos" w:hAnsi="Aptos"/>
          <w:sz w:val="20"/>
          <w:szCs w:val="20"/>
        </w:rPr>
        <w:t>Nova bond</w:t>
      </w:r>
      <w:r w:rsidR="00000000" w:rsidRPr="00B24C73">
        <w:rPr>
          <w:rFonts w:ascii="Aptos" w:hAnsi="Aptos"/>
          <w:sz w:val="20"/>
          <w:szCs w:val="20"/>
        </w:rPr>
        <w:t xml:space="preserve"> Additive is a non-hazardous product. Ensure adequate ventilation when using. If product splashes into eyes rinse thoroughly for at least 15 minutes with clean water. If </w:t>
      </w:r>
      <w:r w:rsidRPr="00B24C73">
        <w:rPr>
          <w:rFonts w:ascii="Aptos" w:hAnsi="Aptos"/>
          <w:sz w:val="20"/>
          <w:szCs w:val="20"/>
        </w:rPr>
        <w:t>Nova bond</w:t>
      </w:r>
      <w:r w:rsidR="00000000" w:rsidRPr="00B24C73">
        <w:rPr>
          <w:rFonts w:ascii="Aptos" w:hAnsi="Aptos"/>
          <w:sz w:val="20"/>
          <w:szCs w:val="20"/>
        </w:rPr>
        <w:t xml:space="preserve"> Additive comes in contact with the skin, wash well to remove. </w:t>
      </w:r>
    </w:p>
    <w:p w14:paraId="622611C6"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6984CBCB" w14:textId="77777777" w:rsidR="00E906DD" w:rsidRPr="00B24C73" w:rsidRDefault="00000000" w:rsidP="00B24C73">
      <w:pPr>
        <w:spacing w:after="0" w:line="240" w:lineRule="auto"/>
        <w:jc w:val="both"/>
        <w:rPr>
          <w:rFonts w:ascii="Aptos" w:hAnsi="Aptos"/>
        </w:rPr>
      </w:pPr>
      <w:r w:rsidRPr="00B24C73">
        <w:rPr>
          <w:rFonts w:ascii="Aptos" w:hAnsi="Aptos"/>
        </w:rPr>
        <w:t xml:space="preserve">Manual Handling  </w:t>
      </w:r>
    </w:p>
    <w:p w14:paraId="3C02C60F" w14:textId="77777777" w:rsid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Manual handling of this product without due care and attention, may result in personal injury. </w:t>
      </w:r>
    </w:p>
    <w:p w14:paraId="268B160C" w14:textId="48FA0E48"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40D98208" w14:textId="77777777" w:rsidR="00E906DD" w:rsidRPr="00B24C73" w:rsidRDefault="00000000" w:rsidP="00B24C73">
      <w:pPr>
        <w:spacing w:after="0" w:line="240" w:lineRule="auto"/>
        <w:jc w:val="both"/>
        <w:rPr>
          <w:rFonts w:ascii="Aptos" w:hAnsi="Aptos"/>
        </w:rPr>
      </w:pPr>
      <w:r w:rsidRPr="00B24C73">
        <w:rPr>
          <w:rFonts w:ascii="Aptos" w:hAnsi="Aptos"/>
        </w:rPr>
        <w:t xml:space="preserve">Handy Tips  </w:t>
      </w:r>
    </w:p>
    <w:p w14:paraId="735E452B" w14:textId="0AD5D932"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Do Not use </w:t>
      </w:r>
      <w:r w:rsidR="00B24C73" w:rsidRPr="00B24C73">
        <w:rPr>
          <w:rFonts w:ascii="Aptos" w:hAnsi="Aptos"/>
          <w:sz w:val="20"/>
          <w:szCs w:val="20"/>
        </w:rPr>
        <w:t>Nova bond</w:t>
      </w:r>
      <w:r w:rsidRPr="00B24C73">
        <w:rPr>
          <w:rFonts w:ascii="Aptos" w:hAnsi="Aptos"/>
          <w:sz w:val="20"/>
          <w:szCs w:val="20"/>
        </w:rPr>
        <w:t xml:space="preserve"> Additive in temperatures above 38°C and below 5°C.  </w:t>
      </w:r>
    </w:p>
    <w:p w14:paraId="029081C7"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For application not mentioned in this data sheet please contact Novatex Products Pty Ltd.  For a full MSDS on this product please contact Novatex Products Pty Ltd.   </w:t>
      </w:r>
    </w:p>
    <w:p w14:paraId="7CCF6C35"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3C7720F2"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Contact Us  </w:t>
      </w:r>
    </w:p>
    <w:p w14:paraId="4137BFDA" w14:textId="3371D015"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For further technical information, please contact Novatex Products on 02 </w:t>
      </w:r>
      <w:r w:rsidR="00B24C73">
        <w:rPr>
          <w:rFonts w:ascii="Aptos" w:hAnsi="Aptos"/>
          <w:sz w:val="20"/>
          <w:szCs w:val="20"/>
        </w:rPr>
        <w:t>9616 6500.</w:t>
      </w:r>
    </w:p>
    <w:p w14:paraId="12C7E32B"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r w:rsidRPr="00B24C73">
        <w:rPr>
          <w:rFonts w:ascii="Aptos" w:hAnsi="Aptos"/>
          <w:sz w:val="20"/>
          <w:szCs w:val="20"/>
        </w:rPr>
        <w:tab/>
        <w:t xml:space="preserve"> </w:t>
      </w:r>
      <w:r w:rsidRPr="00B24C73">
        <w:rPr>
          <w:rFonts w:ascii="Aptos" w:hAnsi="Aptos"/>
          <w:sz w:val="20"/>
          <w:szCs w:val="20"/>
        </w:rPr>
        <w:tab/>
        <w:t xml:space="preserve"> </w:t>
      </w:r>
      <w:r w:rsidRPr="00B24C73">
        <w:rPr>
          <w:rFonts w:ascii="Aptos" w:hAnsi="Aptos"/>
          <w:sz w:val="20"/>
          <w:szCs w:val="20"/>
        </w:rPr>
        <w:tab/>
        <w:t xml:space="preserve"> </w:t>
      </w:r>
    </w:p>
    <w:p w14:paraId="19629B5A"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Technical Data </w:t>
      </w:r>
    </w:p>
    <w:tbl>
      <w:tblPr>
        <w:tblStyle w:val="TableGrid"/>
        <w:tblpPr w:vertAnchor="text" w:horzAnchor="margin" w:tblpXSpec="right" w:tblpY="24"/>
        <w:tblOverlap w:val="never"/>
        <w:tblW w:w="8757" w:type="dxa"/>
        <w:tblInd w:w="0" w:type="dxa"/>
        <w:tblCellMar>
          <w:top w:w="47" w:type="dxa"/>
          <w:left w:w="106" w:type="dxa"/>
          <w:bottom w:w="0" w:type="dxa"/>
          <w:right w:w="115" w:type="dxa"/>
        </w:tblCellMar>
        <w:tblLook w:val="04A0" w:firstRow="1" w:lastRow="0" w:firstColumn="1" w:lastColumn="0" w:noHBand="0" w:noVBand="1"/>
      </w:tblPr>
      <w:tblGrid>
        <w:gridCol w:w="2691"/>
        <w:gridCol w:w="6066"/>
      </w:tblGrid>
      <w:tr w:rsidR="00B24C73" w:rsidRPr="00B24C73" w14:paraId="0C006691" w14:textId="77777777" w:rsidTr="00B24C73">
        <w:trPr>
          <w:trHeight w:val="254"/>
        </w:trPr>
        <w:tc>
          <w:tcPr>
            <w:tcW w:w="2691" w:type="dxa"/>
            <w:tcBorders>
              <w:top w:val="single" w:sz="4" w:space="0" w:color="000000"/>
              <w:left w:val="single" w:sz="4" w:space="0" w:color="000000"/>
              <w:bottom w:val="single" w:sz="4" w:space="0" w:color="000000"/>
              <w:right w:val="single" w:sz="4" w:space="0" w:color="000000"/>
            </w:tcBorders>
          </w:tcPr>
          <w:p w14:paraId="6B560699" w14:textId="77777777" w:rsidR="00B24C73" w:rsidRPr="00B24C73" w:rsidRDefault="00B24C73" w:rsidP="00B24C73">
            <w:pPr>
              <w:spacing w:after="0" w:line="240" w:lineRule="auto"/>
              <w:jc w:val="both"/>
              <w:rPr>
                <w:rFonts w:ascii="Aptos" w:hAnsi="Aptos"/>
                <w:sz w:val="20"/>
                <w:szCs w:val="20"/>
              </w:rPr>
            </w:pPr>
            <w:r w:rsidRPr="00B24C73">
              <w:rPr>
                <w:rFonts w:ascii="Aptos" w:hAnsi="Aptos"/>
                <w:sz w:val="20"/>
                <w:szCs w:val="20"/>
              </w:rPr>
              <w:t xml:space="preserve">Appearance </w:t>
            </w:r>
          </w:p>
        </w:tc>
        <w:tc>
          <w:tcPr>
            <w:tcW w:w="6066" w:type="dxa"/>
            <w:tcBorders>
              <w:top w:val="single" w:sz="4" w:space="0" w:color="000000"/>
              <w:left w:val="single" w:sz="4" w:space="0" w:color="000000"/>
              <w:bottom w:val="single" w:sz="4" w:space="0" w:color="000000"/>
              <w:right w:val="single" w:sz="4" w:space="0" w:color="000000"/>
            </w:tcBorders>
          </w:tcPr>
          <w:p w14:paraId="5E48054E" w14:textId="77777777" w:rsidR="00B24C73" w:rsidRPr="00B24C73" w:rsidRDefault="00B24C73" w:rsidP="00B24C73">
            <w:pPr>
              <w:spacing w:after="0" w:line="240" w:lineRule="auto"/>
              <w:jc w:val="both"/>
              <w:rPr>
                <w:rFonts w:ascii="Aptos" w:hAnsi="Aptos"/>
                <w:sz w:val="20"/>
                <w:szCs w:val="20"/>
              </w:rPr>
            </w:pPr>
            <w:r w:rsidRPr="00B24C73">
              <w:rPr>
                <w:rFonts w:ascii="Aptos" w:hAnsi="Aptos"/>
                <w:sz w:val="20"/>
                <w:szCs w:val="20"/>
              </w:rPr>
              <w:t xml:space="preserve">White Liquid </w:t>
            </w:r>
          </w:p>
        </w:tc>
      </w:tr>
    </w:tbl>
    <w:p w14:paraId="76EE7E0B" w14:textId="77777777" w:rsidR="00E906DD" w:rsidRPr="00B24C73" w:rsidRDefault="00000000" w:rsidP="00B24C73">
      <w:pPr>
        <w:spacing w:after="0" w:line="240" w:lineRule="auto"/>
        <w:jc w:val="both"/>
        <w:rPr>
          <w:rFonts w:ascii="Aptos" w:hAnsi="Aptos"/>
          <w:sz w:val="20"/>
          <w:szCs w:val="20"/>
        </w:rPr>
      </w:pPr>
      <w:r w:rsidRPr="00B24C73">
        <w:rPr>
          <w:rFonts w:ascii="Aptos" w:hAnsi="Aptos"/>
          <w:sz w:val="20"/>
          <w:szCs w:val="20"/>
        </w:rPr>
        <w:t xml:space="preserve"> </w:t>
      </w:r>
    </w:p>
    <w:p w14:paraId="36666E99" w14:textId="77777777" w:rsidR="00E906DD" w:rsidRPr="00B24C73" w:rsidRDefault="00000000" w:rsidP="00B24C73">
      <w:pPr>
        <w:spacing w:after="0" w:line="240" w:lineRule="auto"/>
        <w:jc w:val="both"/>
        <w:rPr>
          <w:rFonts w:ascii="Aptos" w:hAnsi="Aptos"/>
          <w:sz w:val="20"/>
          <w:szCs w:val="20"/>
        </w:rPr>
      </w:pPr>
      <w:r w:rsidRPr="00B24C73">
        <w:rPr>
          <w:rFonts w:ascii="Aptos" w:eastAsia="Cambria" w:hAnsi="Aptos" w:cs="Cambria"/>
          <w:color w:val="17365D"/>
          <w:sz w:val="20"/>
          <w:szCs w:val="20"/>
        </w:rPr>
        <w:t xml:space="preserve"> </w:t>
      </w:r>
    </w:p>
    <w:p w14:paraId="1419ACD4" w14:textId="77777777" w:rsidR="00B24C73" w:rsidRDefault="00B24C73" w:rsidP="00B24C73">
      <w:pPr>
        <w:spacing w:after="0" w:line="240" w:lineRule="auto"/>
        <w:jc w:val="center"/>
        <w:rPr>
          <w:rFonts w:ascii="Aptos" w:eastAsia="Times New Roman" w:hAnsi="Aptos" w:cs="Times New Roman"/>
          <w:b/>
          <w:bCs/>
          <w:i/>
          <w:sz w:val="16"/>
          <w:szCs w:val="16"/>
        </w:rPr>
      </w:pPr>
    </w:p>
    <w:p w14:paraId="27E46D49" w14:textId="77777777" w:rsidR="00B24C73" w:rsidRDefault="00B24C73" w:rsidP="00B24C73">
      <w:pPr>
        <w:spacing w:after="0" w:line="240" w:lineRule="auto"/>
        <w:jc w:val="center"/>
        <w:rPr>
          <w:rFonts w:ascii="Aptos" w:eastAsia="Times New Roman" w:hAnsi="Aptos" w:cs="Times New Roman"/>
          <w:b/>
          <w:bCs/>
          <w:i/>
          <w:sz w:val="16"/>
          <w:szCs w:val="16"/>
        </w:rPr>
      </w:pPr>
    </w:p>
    <w:p w14:paraId="445F942A" w14:textId="77777777" w:rsidR="00B24C73" w:rsidRDefault="00B24C73" w:rsidP="00B24C73">
      <w:pPr>
        <w:spacing w:after="0" w:line="240" w:lineRule="auto"/>
        <w:jc w:val="center"/>
        <w:rPr>
          <w:rFonts w:ascii="Aptos" w:eastAsia="Times New Roman" w:hAnsi="Aptos" w:cs="Times New Roman"/>
          <w:b/>
          <w:bCs/>
          <w:i/>
          <w:sz w:val="16"/>
          <w:szCs w:val="16"/>
        </w:rPr>
      </w:pPr>
    </w:p>
    <w:p w14:paraId="7223149D" w14:textId="77777777" w:rsidR="00B24C73" w:rsidRDefault="00B24C73" w:rsidP="00B24C73">
      <w:pPr>
        <w:spacing w:after="0" w:line="240" w:lineRule="auto"/>
        <w:jc w:val="center"/>
        <w:rPr>
          <w:rFonts w:ascii="Aptos" w:eastAsia="Times New Roman" w:hAnsi="Aptos" w:cs="Times New Roman"/>
          <w:b/>
          <w:bCs/>
          <w:i/>
          <w:sz w:val="16"/>
          <w:szCs w:val="16"/>
        </w:rPr>
      </w:pPr>
    </w:p>
    <w:p w14:paraId="52159BF2" w14:textId="77777777" w:rsidR="00B24C73" w:rsidRDefault="00B24C73" w:rsidP="00B24C73">
      <w:pPr>
        <w:spacing w:after="0" w:line="240" w:lineRule="auto"/>
        <w:jc w:val="center"/>
        <w:rPr>
          <w:rFonts w:ascii="Aptos" w:eastAsia="Times New Roman" w:hAnsi="Aptos" w:cs="Times New Roman"/>
          <w:b/>
          <w:bCs/>
          <w:i/>
          <w:sz w:val="16"/>
          <w:szCs w:val="16"/>
        </w:rPr>
      </w:pPr>
    </w:p>
    <w:p w14:paraId="511CA0A4" w14:textId="77777777" w:rsidR="00B24C73" w:rsidRDefault="00B24C73" w:rsidP="00B24C73">
      <w:pPr>
        <w:spacing w:after="0" w:line="240" w:lineRule="auto"/>
        <w:jc w:val="center"/>
        <w:rPr>
          <w:rFonts w:ascii="Aptos" w:eastAsia="Times New Roman" w:hAnsi="Aptos" w:cs="Times New Roman"/>
          <w:b/>
          <w:bCs/>
          <w:i/>
          <w:sz w:val="16"/>
          <w:szCs w:val="16"/>
        </w:rPr>
      </w:pPr>
    </w:p>
    <w:p w14:paraId="35A888A0" w14:textId="77777777" w:rsidR="00B24C73" w:rsidRDefault="00B24C73" w:rsidP="00B24C73">
      <w:pPr>
        <w:spacing w:after="0" w:line="240" w:lineRule="auto"/>
        <w:jc w:val="center"/>
        <w:rPr>
          <w:rFonts w:ascii="Aptos" w:eastAsia="Times New Roman" w:hAnsi="Aptos" w:cs="Times New Roman"/>
          <w:b/>
          <w:bCs/>
          <w:i/>
          <w:sz w:val="16"/>
          <w:szCs w:val="16"/>
        </w:rPr>
      </w:pPr>
    </w:p>
    <w:p w14:paraId="71BC85A3" w14:textId="77777777" w:rsidR="00B24C73" w:rsidRDefault="00B24C73" w:rsidP="00B24C73">
      <w:pPr>
        <w:spacing w:after="0" w:line="240" w:lineRule="auto"/>
        <w:jc w:val="center"/>
        <w:rPr>
          <w:rFonts w:ascii="Aptos" w:eastAsia="Times New Roman" w:hAnsi="Aptos" w:cs="Times New Roman"/>
          <w:b/>
          <w:bCs/>
          <w:i/>
          <w:sz w:val="16"/>
          <w:szCs w:val="16"/>
        </w:rPr>
      </w:pPr>
    </w:p>
    <w:p w14:paraId="39C5DB50" w14:textId="77777777" w:rsidR="00B24C73" w:rsidRDefault="00B24C73" w:rsidP="00B24C73">
      <w:pPr>
        <w:spacing w:after="0" w:line="240" w:lineRule="auto"/>
        <w:jc w:val="center"/>
        <w:rPr>
          <w:rFonts w:ascii="Aptos" w:eastAsia="Times New Roman" w:hAnsi="Aptos" w:cs="Times New Roman"/>
          <w:b/>
          <w:bCs/>
          <w:i/>
          <w:sz w:val="16"/>
          <w:szCs w:val="16"/>
        </w:rPr>
      </w:pPr>
    </w:p>
    <w:p w14:paraId="784BB1B7" w14:textId="77777777" w:rsidR="00B24C73" w:rsidRDefault="00B24C73" w:rsidP="00B24C73">
      <w:pPr>
        <w:spacing w:after="0" w:line="240" w:lineRule="auto"/>
        <w:jc w:val="center"/>
        <w:rPr>
          <w:rFonts w:ascii="Aptos" w:eastAsia="Times New Roman" w:hAnsi="Aptos" w:cs="Times New Roman"/>
          <w:b/>
          <w:bCs/>
          <w:i/>
          <w:sz w:val="16"/>
          <w:szCs w:val="16"/>
        </w:rPr>
      </w:pPr>
    </w:p>
    <w:p w14:paraId="5AE29860" w14:textId="77777777" w:rsidR="00B24C73" w:rsidRDefault="00B24C73" w:rsidP="00B24C73">
      <w:pPr>
        <w:spacing w:after="0" w:line="240" w:lineRule="auto"/>
        <w:jc w:val="center"/>
        <w:rPr>
          <w:rFonts w:ascii="Aptos" w:eastAsia="Times New Roman" w:hAnsi="Aptos" w:cs="Times New Roman"/>
          <w:b/>
          <w:bCs/>
          <w:i/>
          <w:sz w:val="16"/>
          <w:szCs w:val="16"/>
        </w:rPr>
      </w:pPr>
    </w:p>
    <w:p w14:paraId="0DF3B833" w14:textId="77777777" w:rsidR="00B24C73" w:rsidRDefault="00B24C73" w:rsidP="00B24C73">
      <w:pPr>
        <w:spacing w:after="0" w:line="240" w:lineRule="auto"/>
        <w:jc w:val="center"/>
        <w:rPr>
          <w:rFonts w:ascii="Aptos" w:eastAsia="Times New Roman" w:hAnsi="Aptos" w:cs="Times New Roman"/>
          <w:b/>
          <w:bCs/>
          <w:i/>
          <w:sz w:val="16"/>
          <w:szCs w:val="16"/>
        </w:rPr>
      </w:pPr>
    </w:p>
    <w:p w14:paraId="2BFE444A" w14:textId="0B7A466F" w:rsidR="00E906DD" w:rsidRPr="00B24C73" w:rsidRDefault="00000000" w:rsidP="00B24C73">
      <w:pPr>
        <w:spacing w:after="0" w:line="240" w:lineRule="auto"/>
        <w:jc w:val="center"/>
        <w:rPr>
          <w:rFonts w:ascii="Aptos" w:hAnsi="Aptos"/>
          <w:b/>
          <w:bCs/>
          <w:i/>
          <w:sz w:val="16"/>
          <w:szCs w:val="16"/>
        </w:rPr>
      </w:pPr>
      <w:r w:rsidRPr="00B24C73">
        <w:rPr>
          <w:rFonts w:ascii="Aptos" w:eastAsia="Times New Roman" w:hAnsi="Aptos" w:cs="Times New Roman"/>
          <w:b/>
          <w:bCs/>
          <w:i/>
          <w:sz w:val="16"/>
          <w:szCs w:val="16"/>
        </w:rPr>
        <w:t xml:space="preserve">The information supplied is to the best of our knowledge true and accurate. The actual application of the product is beyond the manufacturer’s control. Any failure or damage </w:t>
      </w:r>
      <w:r w:rsidR="00B24C73" w:rsidRPr="00B24C73">
        <w:rPr>
          <w:rFonts w:ascii="Aptos" w:eastAsia="Times New Roman" w:hAnsi="Aptos" w:cs="Times New Roman"/>
          <w:b/>
          <w:bCs/>
          <w:i/>
          <w:sz w:val="16"/>
          <w:szCs w:val="16"/>
        </w:rPr>
        <w:t xml:space="preserve">caused </w:t>
      </w:r>
      <w:r w:rsidR="00B24C73" w:rsidRPr="00B24C73">
        <w:rPr>
          <w:rFonts w:ascii="Aptos" w:hAnsi="Aptos"/>
          <w:b/>
          <w:bCs/>
          <w:i/>
          <w:sz w:val="16"/>
          <w:szCs w:val="16"/>
        </w:rPr>
        <w:t>by</w:t>
      </w:r>
      <w:r w:rsidRPr="00B24C73">
        <w:rPr>
          <w:rFonts w:ascii="Aptos" w:eastAsia="Times New Roman" w:hAnsi="Aptos" w:cs="Times New Roman"/>
          <w:b/>
          <w:bCs/>
          <w:i/>
          <w:sz w:val="16"/>
          <w:szCs w:val="16"/>
        </w:rPr>
        <w:t xml:space="preserve">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B24C73" w:rsidRPr="00B24C73">
        <w:rPr>
          <w:rFonts w:ascii="Aptos" w:eastAsia="Times New Roman" w:hAnsi="Aptos" w:cs="Times New Roman"/>
          <w:b/>
          <w:bCs/>
          <w:i/>
          <w:sz w:val="16"/>
          <w:szCs w:val="16"/>
        </w:rPr>
        <w:t>.</w:t>
      </w:r>
    </w:p>
    <w:sectPr w:rsidR="00E906DD" w:rsidRPr="00B24C73" w:rsidSect="00B24C73">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E73"/>
    <w:multiLevelType w:val="hybridMultilevel"/>
    <w:tmpl w:val="6B147034"/>
    <w:lvl w:ilvl="0" w:tplc="11CAE0E4">
      <w:start w:val="1"/>
      <w:numFmt w:val="bullet"/>
      <w:lvlText w:val="o"/>
      <w:lvlJc w:val="left"/>
      <w:pPr>
        <w:ind w:left="28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48184462">
      <w:start w:val="1"/>
      <w:numFmt w:val="bullet"/>
      <w:lvlText w:val="o"/>
      <w:lvlJc w:val="left"/>
      <w:pPr>
        <w:ind w:left="30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CD5AA05C">
      <w:start w:val="1"/>
      <w:numFmt w:val="bullet"/>
      <w:lvlText w:val="▪"/>
      <w:lvlJc w:val="left"/>
      <w:pPr>
        <w:ind w:left="38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5DB6877A">
      <w:start w:val="1"/>
      <w:numFmt w:val="bullet"/>
      <w:lvlText w:val="•"/>
      <w:lvlJc w:val="left"/>
      <w:pPr>
        <w:ind w:left="45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EF08A83C">
      <w:start w:val="1"/>
      <w:numFmt w:val="bullet"/>
      <w:lvlText w:val="o"/>
      <w:lvlJc w:val="left"/>
      <w:pPr>
        <w:ind w:left="524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760E80F0">
      <w:start w:val="1"/>
      <w:numFmt w:val="bullet"/>
      <w:lvlText w:val="▪"/>
      <w:lvlJc w:val="left"/>
      <w:pPr>
        <w:ind w:left="596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F3D60076">
      <w:start w:val="1"/>
      <w:numFmt w:val="bullet"/>
      <w:lvlText w:val="•"/>
      <w:lvlJc w:val="left"/>
      <w:pPr>
        <w:ind w:left="66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10A4B4F2">
      <w:start w:val="1"/>
      <w:numFmt w:val="bullet"/>
      <w:lvlText w:val="o"/>
      <w:lvlJc w:val="left"/>
      <w:pPr>
        <w:ind w:left="74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5F54825A">
      <w:start w:val="1"/>
      <w:numFmt w:val="bullet"/>
      <w:lvlText w:val="▪"/>
      <w:lvlJc w:val="left"/>
      <w:pPr>
        <w:ind w:left="81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16cid:durableId="164203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DD"/>
    <w:rsid w:val="00B24C73"/>
    <w:rsid w:val="00E90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E784"/>
  <w15:docId w15:val="{26512F1D-2FC5-43EA-BBEC-2A95AC21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72"/>
    </w:rPr>
  </w:style>
  <w:style w:type="paragraph" w:styleId="Heading2">
    <w:name w:val="heading 2"/>
    <w:next w:val="Normal"/>
    <w:link w:val="Heading2Char"/>
    <w:uiPriority w:val="9"/>
    <w:unhideWhenUsed/>
    <w:qFormat/>
    <w:pPr>
      <w:keepNext/>
      <w:keepLines/>
      <w:spacing w:after="0"/>
      <w:ind w:left="1731"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line="265" w:lineRule="auto"/>
      <w:ind w:left="173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2023-12-20T04:06:00Z</dcterms:created>
  <dcterms:modified xsi:type="dcterms:W3CDTF">2023-12-20T04:06:00Z</dcterms:modified>
</cp:coreProperties>
</file>