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B865" w14:textId="27DEAE1A" w:rsidR="00170070" w:rsidRPr="009E1F57" w:rsidRDefault="00000000" w:rsidP="009E1F57">
      <w:pPr>
        <w:spacing w:after="0" w:line="240" w:lineRule="auto"/>
        <w:ind w:left="10"/>
        <w:jc w:val="center"/>
        <w:rPr>
          <w:rFonts w:ascii="Britannic Bold" w:hAnsi="Britannic Bold"/>
          <w:color w:val="FFD966" w:themeColor="accent4" w:themeTint="99"/>
          <w:sz w:val="60"/>
          <w:szCs w:val="60"/>
        </w:rPr>
      </w:pPr>
      <w:r w:rsidRPr="009E1F57">
        <w:rPr>
          <w:rFonts w:ascii="Britannic Bold" w:hAnsi="Britannic Bold"/>
          <w:color w:val="FFD966" w:themeColor="accent4" w:themeTint="99"/>
          <w:sz w:val="60"/>
          <w:szCs w:val="60"/>
        </w:rPr>
        <w:t>SPR ACRYLIC</w:t>
      </w:r>
    </w:p>
    <w:p w14:paraId="6AD4D61A" w14:textId="24C9D66A" w:rsidR="00170070" w:rsidRPr="009E1F57" w:rsidRDefault="00000000" w:rsidP="009E1F57">
      <w:pPr>
        <w:spacing w:after="0" w:line="240" w:lineRule="auto"/>
        <w:ind w:left="10"/>
        <w:jc w:val="center"/>
        <w:rPr>
          <w:rFonts w:ascii="Aptos" w:hAnsi="Aptos"/>
          <w:sz w:val="28"/>
          <w:szCs w:val="28"/>
        </w:rPr>
      </w:pPr>
      <w:r w:rsidRPr="009E1F57">
        <w:rPr>
          <w:rFonts w:ascii="Aptos" w:eastAsia="Cambria" w:hAnsi="Aptos" w:cs="Cambria"/>
          <w:sz w:val="28"/>
          <w:szCs w:val="28"/>
        </w:rPr>
        <w:t>SMOOTH POLYMER RENDER</w:t>
      </w:r>
    </w:p>
    <w:p w14:paraId="0226945E" w14:textId="77777777" w:rsidR="00170070" w:rsidRPr="009E1F57" w:rsidRDefault="00000000" w:rsidP="009E1F57">
      <w:pPr>
        <w:spacing w:after="0" w:line="240" w:lineRule="auto"/>
        <w:ind w:left="10"/>
        <w:jc w:val="both"/>
        <w:rPr>
          <w:rFonts w:ascii="Aptos" w:hAnsi="Aptos"/>
          <w:sz w:val="28"/>
          <w:szCs w:val="28"/>
        </w:rPr>
      </w:pPr>
      <w:r w:rsidRPr="009E1F57">
        <w:rPr>
          <w:rFonts w:ascii="Aptos" w:eastAsia="Times New Roman" w:hAnsi="Aptos" w:cs="Times New Roman"/>
          <w:sz w:val="28"/>
          <w:szCs w:val="28"/>
        </w:rPr>
        <w:t xml:space="preserve"> </w:t>
      </w:r>
    </w:p>
    <w:p w14:paraId="1D168370" w14:textId="66954DED" w:rsidR="00170070" w:rsidRPr="009E1F57" w:rsidRDefault="00000000" w:rsidP="009E1F57">
      <w:pPr>
        <w:spacing w:after="0" w:line="240" w:lineRule="auto"/>
        <w:ind w:left="10"/>
        <w:jc w:val="both"/>
        <w:rPr>
          <w:rFonts w:ascii="Aptos" w:hAnsi="Aptos"/>
          <w:sz w:val="28"/>
          <w:szCs w:val="28"/>
        </w:rPr>
      </w:pPr>
      <w:r w:rsidRPr="009E1F57">
        <w:rPr>
          <w:rFonts w:ascii="Aptos" w:hAnsi="Aptos"/>
          <w:noProof/>
          <w:sz w:val="28"/>
          <w:szCs w:val="28"/>
        </w:rPr>
        <w:drawing>
          <wp:anchor distT="0" distB="0" distL="114300" distR="114300" simplePos="0" relativeHeight="251658240" behindDoc="0" locked="0" layoutInCell="1" allowOverlap="0" wp14:anchorId="4F00DFB7" wp14:editId="6F93529C">
            <wp:simplePos x="0" y="0"/>
            <wp:positionH relativeFrom="column">
              <wp:posOffset>-6857</wp:posOffset>
            </wp:positionH>
            <wp:positionV relativeFrom="paragraph">
              <wp:posOffset>-158</wp:posOffset>
            </wp:positionV>
            <wp:extent cx="785482" cy="7437120"/>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5"/>
                    <a:stretch>
                      <a:fillRect/>
                    </a:stretch>
                  </pic:blipFill>
                  <pic:spPr>
                    <a:xfrm>
                      <a:off x="0" y="0"/>
                      <a:ext cx="785482" cy="7437120"/>
                    </a:xfrm>
                    <a:prstGeom prst="rect">
                      <a:avLst/>
                    </a:prstGeom>
                  </pic:spPr>
                </pic:pic>
              </a:graphicData>
            </a:graphic>
          </wp:anchor>
        </w:drawing>
      </w:r>
      <w:r w:rsidRPr="009E1F57">
        <w:rPr>
          <w:rFonts w:ascii="Aptos" w:hAnsi="Aptos"/>
          <w:sz w:val="28"/>
          <w:szCs w:val="28"/>
        </w:rPr>
        <w:t xml:space="preserve">TECHNICAL DATA SHEET </w:t>
      </w:r>
    </w:p>
    <w:p w14:paraId="03BD1664" w14:textId="77777777" w:rsidR="00170070" w:rsidRPr="009E1F57" w:rsidRDefault="00000000" w:rsidP="009E1F57">
      <w:pPr>
        <w:spacing w:after="0" w:line="240" w:lineRule="auto"/>
        <w:ind w:left="10"/>
        <w:jc w:val="both"/>
        <w:rPr>
          <w:rFonts w:ascii="Aptos" w:hAnsi="Aptos"/>
          <w:sz w:val="28"/>
          <w:szCs w:val="28"/>
        </w:rPr>
      </w:pPr>
      <w:r w:rsidRPr="009E1F57">
        <w:rPr>
          <w:rFonts w:ascii="Aptos" w:eastAsia="Cambria" w:hAnsi="Aptos" w:cs="Cambria"/>
          <w:sz w:val="28"/>
          <w:szCs w:val="28"/>
        </w:rPr>
        <w:t xml:space="preserve"> </w:t>
      </w:r>
    </w:p>
    <w:p w14:paraId="0810B560" w14:textId="77777777" w:rsidR="00170070" w:rsidRPr="009E1F57" w:rsidRDefault="00000000" w:rsidP="009E1F57">
      <w:pPr>
        <w:spacing w:after="0" w:line="240" w:lineRule="auto"/>
        <w:ind w:left="10"/>
        <w:jc w:val="both"/>
        <w:rPr>
          <w:rFonts w:ascii="Aptos" w:hAnsi="Aptos"/>
          <w:sz w:val="28"/>
          <w:szCs w:val="28"/>
        </w:rPr>
      </w:pPr>
      <w:r w:rsidRPr="009E1F57">
        <w:rPr>
          <w:rFonts w:ascii="Aptos" w:hAnsi="Aptos"/>
          <w:sz w:val="28"/>
          <w:szCs w:val="28"/>
        </w:rPr>
        <w:t xml:space="preserve">SPR ACRYLIC is a multipurpose, acrylic render. </w:t>
      </w:r>
    </w:p>
    <w:p w14:paraId="040ADC73" w14:textId="77777777" w:rsidR="00170070" w:rsidRPr="009E1F57" w:rsidRDefault="00000000" w:rsidP="009E1F57">
      <w:pPr>
        <w:spacing w:after="0" w:line="240" w:lineRule="auto"/>
        <w:ind w:left="10"/>
        <w:jc w:val="both"/>
        <w:rPr>
          <w:rFonts w:ascii="Aptos" w:hAnsi="Aptos"/>
          <w:sz w:val="28"/>
          <w:szCs w:val="28"/>
        </w:rPr>
      </w:pPr>
      <w:r w:rsidRPr="009E1F57">
        <w:rPr>
          <w:rFonts w:ascii="Aptos" w:hAnsi="Aptos"/>
          <w:sz w:val="28"/>
          <w:szCs w:val="28"/>
        </w:rPr>
        <w:t xml:space="preserve"> </w:t>
      </w:r>
    </w:p>
    <w:p w14:paraId="2FB7E093" w14:textId="759D1D7D" w:rsidR="00170070" w:rsidRPr="009E1F57" w:rsidRDefault="00000000" w:rsidP="009E1F57">
      <w:pPr>
        <w:spacing w:after="0" w:line="240" w:lineRule="auto"/>
        <w:ind w:left="10"/>
        <w:jc w:val="both"/>
        <w:rPr>
          <w:rFonts w:ascii="Aptos" w:hAnsi="Aptos"/>
          <w:sz w:val="28"/>
          <w:szCs w:val="28"/>
        </w:rPr>
      </w:pPr>
      <w:r w:rsidRPr="009E1F57">
        <w:rPr>
          <w:rFonts w:ascii="Aptos" w:hAnsi="Aptos"/>
          <w:sz w:val="28"/>
          <w:szCs w:val="28"/>
        </w:rPr>
        <w:t xml:space="preserve">SPR Acrylic unique formulation boasts superior trowelability while giving it a smooth finish. It can be applied up to 10mm with no sagging or cracking.  SPR Acrylic can be applied by using a hawk and trowel over a variety of surfaces including AAC blocks, brickwork, concrete walls and concrete blockwork. </w:t>
      </w:r>
    </w:p>
    <w:p w14:paraId="3C2F351B" w14:textId="27813C26" w:rsidR="00170070" w:rsidRDefault="009E1F57" w:rsidP="009E1F57">
      <w:pPr>
        <w:spacing w:after="0" w:line="240" w:lineRule="auto"/>
        <w:ind w:left="10"/>
        <w:jc w:val="both"/>
        <w:rPr>
          <w:rFonts w:ascii="Aptos" w:hAnsi="Aptos"/>
          <w:sz w:val="28"/>
          <w:szCs w:val="28"/>
        </w:rPr>
      </w:pPr>
      <w:r>
        <w:rPr>
          <w:rFonts w:ascii="Aptos" w:hAnsi="Aptos"/>
          <w:noProof/>
          <w:szCs w:val="20"/>
        </w:rPr>
        <w:drawing>
          <wp:anchor distT="0" distB="0" distL="114300" distR="114300" simplePos="0" relativeHeight="251665408" behindDoc="0" locked="0" layoutInCell="1" allowOverlap="1" wp14:anchorId="111118A4" wp14:editId="5C3F9035">
            <wp:simplePos x="0" y="0"/>
            <wp:positionH relativeFrom="margin">
              <wp:posOffset>4302760</wp:posOffset>
            </wp:positionH>
            <wp:positionV relativeFrom="paragraph">
              <wp:posOffset>9525</wp:posOffset>
            </wp:positionV>
            <wp:extent cx="2662433" cy="2295525"/>
            <wp:effectExtent l="0" t="0" r="5080" b="0"/>
            <wp:wrapSquare wrapText="bothSides"/>
            <wp:docPr id="13465530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052" t="13219" r="9626" b="16667"/>
                    <a:stretch/>
                  </pic:blipFill>
                  <pic:spPr bwMode="auto">
                    <a:xfrm>
                      <a:off x="0" y="0"/>
                      <a:ext cx="2662433" cy="2295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sidRPr="009E1F57">
        <w:rPr>
          <w:rFonts w:ascii="Aptos" w:hAnsi="Aptos"/>
          <w:sz w:val="28"/>
          <w:szCs w:val="28"/>
        </w:rPr>
        <w:t xml:space="preserve"> </w:t>
      </w:r>
    </w:p>
    <w:p w14:paraId="47E2B0A5" w14:textId="77777777" w:rsidR="009E1F57" w:rsidRDefault="009E1F57" w:rsidP="009E1F57">
      <w:pPr>
        <w:spacing w:after="0" w:line="240" w:lineRule="auto"/>
        <w:ind w:left="10"/>
        <w:jc w:val="both"/>
        <w:rPr>
          <w:rFonts w:ascii="Aptos" w:hAnsi="Aptos"/>
          <w:sz w:val="28"/>
          <w:szCs w:val="28"/>
        </w:rPr>
      </w:pPr>
    </w:p>
    <w:p w14:paraId="286A0303" w14:textId="77777777" w:rsidR="009E1F57" w:rsidRPr="009E1F57" w:rsidRDefault="009E1F57" w:rsidP="009E1F57">
      <w:pPr>
        <w:spacing w:after="0" w:line="240" w:lineRule="auto"/>
        <w:ind w:left="10"/>
        <w:jc w:val="both"/>
        <w:rPr>
          <w:rFonts w:ascii="Aptos" w:hAnsi="Aptos"/>
          <w:sz w:val="28"/>
          <w:szCs w:val="28"/>
        </w:rPr>
      </w:pPr>
    </w:p>
    <w:p w14:paraId="0708C467" w14:textId="73A58A37" w:rsidR="009E1F57" w:rsidRPr="009E1F57" w:rsidRDefault="00000000" w:rsidP="009E1F57">
      <w:pPr>
        <w:pStyle w:val="ListParagraph"/>
        <w:numPr>
          <w:ilvl w:val="0"/>
          <w:numId w:val="2"/>
        </w:numPr>
        <w:spacing w:after="0" w:line="240" w:lineRule="auto"/>
        <w:jc w:val="both"/>
        <w:rPr>
          <w:rFonts w:ascii="Aptos" w:hAnsi="Aptos"/>
          <w:sz w:val="28"/>
          <w:szCs w:val="28"/>
        </w:rPr>
      </w:pPr>
      <w:r w:rsidRPr="009E1F57">
        <w:rPr>
          <w:rFonts w:ascii="Aptos" w:hAnsi="Aptos"/>
          <w:sz w:val="28"/>
          <w:szCs w:val="28"/>
        </w:rPr>
        <w:t xml:space="preserve">Acrylic modified </w:t>
      </w:r>
    </w:p>
    <w:p w14:paraId="1CE7B828" w14:textId="77777777" w:rsidR="009E1F57" w:rsidRPr="009E1F57" w:rsidRDefault="00000000" w:rsidP="009E1F57">
      <w:pPr>
        <w:pStyle w:val="ListParagraph"/>
        <w:numPr>
          <w:ilvl w:val="0"/>
          <w:numId w:val="2"/>
        </w:numPr>
        <w:spacing w:after="0" w:line="240" w:lineRule="auto"/>
        <w:jc w:val="both"/>
        <w:rPr>
          <w:rFonts w:ascii="Aptos" w:hAnsi="Aptos"/>
          <w:sz w:val="28"/>
          <w:szCs w:val="28"/>
        </w:rPr>
      </w:pPr>
      <w:r w:rsidRPr="009E1F57">
        <w:rPr>
          <w:rFonts w:ascii="Aptos" w:hAnsi="Aptos"/>
          <w:sz w:val="28"/>
          <w:szCs w:val="28"/>
        </w:rPr>
        <w:t xml:space="preserve">Easy trowelability </w:t>
      </w:r>
    </w:p>
    <w:p w14:paraId="7A150E25" w14:textId="2744FE97" w:rsidR="00170070" w:rsidRPr="009E1F57" w:rsidRDefault="00000000" w:rsidP="009E1F57">
      <w:pPr>
        <w:pStyle w:val="ListParagraph"/>
        <w:numPr>
          <w:ilvl w:val="0"/>
          <w:numId w:val="2"/>
        </w:numPr>
        <w:spacing w:after="0" w:line="240" w:lineRule="auto"/>
        <w:rPr>
          <w:rFonts w:ascii="Aptos" w:hAnsi="Aptos"/>
          <w:sz w:val="28"/>
          <w:szCs w:val="28"/>
        </w:rPr>
      </w:pPr>
      <w:r w:rsidRPr="009E1F57">
        <w:rPr>
          <w:rFonts w:ascii="Aptos" w:hAnsi="Aptos"/>
          <w:sz w:val="28"/>
          <w:szCs w:val="28"/>
        </w:rPr>
        <w:t xml:space="preserve">creamy </w:t>
      </w:r>
    </w:p>
    <w:p w14:paraId="3E165A64" w14:textId="77777777" w:rsidR="009E1F57" w:rsidRPr="009E1F57" w:rsidRDefault="00000000" w:rsidP="009E1F57">
      <w:pPr>
        <w:pStyle w:val="ListParagraph"/>
        <w:numPr>
          <w:ilvl w:val="0"/>
          <w:numId w:val="2"/>
        </w:numPr>
        <w:spacing w:after="0" w:line="240" w:lineRule="auto"/>
        <w:rPr>
          <w:rFonts w:ascii="Aptos" w:hAnsi="Aptos"/>
          <w:sz w:val="28"/>
          <w:szCs w:val="28"/>
        </w:rPr>
      </w:pPr>
      <w:r w:rsidRPr="009E1F57">
        <w:rPr>
          <w:rFonts w:ascii="Aptos" w:hAnsi="Aptos"/>
          <w:sz w:val="28"/>
          <w:szCs w:val="28"/>
        </w:rPr>
        <w:t xml:space="preserve">Build up to 10mm in single </w:t>
      </w:r>
      <w:r w:rsidR="009E1F57" w:rsidRPr="009E1F57">
        <w:rPr>
          <w:rFonts w:ascii="Aptos" w:hAnsi="Aptos"/>
          <w:sz w:val="28"/>
          <w:szCs w:val="28"/>
        </w:rPr>
        <w:t>application.</w:t>
      </w:r>
      <w:r w:rsidRPr="009E1F57">
        <w:rPr>
          <w:rFonts w:ascii="Aptos" w:hAnsi="Aptos"/>
          <w:sz w:val="28"/>
          <w:szCs w:val="28"/>
        </w:rPr>
        <w:t xml:space="preserve"> </w:t>
      </w:r>
    </w:p>
    <w:p w14:paraId="05E1310B" w14:textId="2709CD51" w:rsidR="00170070" w:rsidRPr="009E1F57" w:rsidRDefault="00000000" w:rsidP="009E1F57">
      <w:pPr>
        <w:pStyle w:val="ListParagraph"/>
        <w:numPr>
          <w:ilvl w:val="0"/>
          <w:numId w:val="2"/>
        </w:numPr>
        <w:spacing w:after="0" w:line="240" w:lineRule="auto"/>
        <w:jc w:val="both"/>
        <w:rPr>
          <w:rFonts w:ascii="Aptos" w:hAnsi="Aptos"/>
          <w:sz w:val="28"/>
          <w:szCs w:val="28"/>
        </w:rPr>
      </w:pPr>
      <w:r w:rsidRPr="009E1F57">
        <w:rPr>
          <w:rFonts w:ascii="Aptos" w:hAnsi="Aptos"/>
          <w:sz w:val="28"/>
          <w:szCs w:val="28"/>
        </w:rPr>
        <w:t xml:space="preserve">Smooth render finish </w:t>
      </w:r>
      <w:r w:rsidRPr="009E1F57">
        <w:rPr>
          <w:rFonts w:ascii="Aptos" w:eastAsia="Times New Roman" w:hAnsi="Aptos" w:cs="Times New Roman"/>
          <w:sz w:val="28"/>
          <w:szCs w:val="28"/>
        </w:rPr>
        <w:t xml:space="preserve"> </w:t>
      </w:r>
    </w:p>
    <w:p w14:paraId="2B231A69" w14:textId="77777777" w:rsidR="00170070" w:rsidRDefault="00000000" w:rsidP="009E1F57">
      <w:pPr>
        <w:spacing w:after="0" w:line="240" w:lineRule="auto"/>
        <w:ind w:left="10"/>
        <w:jc w:val="both"/>
        <w:rPr>
          <w:rFonts w:ascii="Aptos" w:hAnsi="Aptos"/>
          <w:sz w:val="28"/>
          <w:szCs w:val="28"/>
        </w:rPr>
      </w:pPr>
      <w:r w:rsidRPr="009E1F57">
        <w:rPr>
          <w:rFonts w:ascii="Aptos" w:hAnsi="Aptos"/>
          <w:sz w:val="28"/>
          <w:szCs w:val="28"/>
        </w:rPr>
        <w:t xml:space="preserve"> </w:t>
      </w:r>
    </w:p>
    <w:p w14:paraId="2136FBDF" w14:textId="77777777" w:rsidR="009E1F57" w:rsidRDefault="009E1F57" w:rsidP="009E1F57">
      <w:pPr>
        <w:spacing w:after="0" w:line="240" w:lineRule="auto"/>
        <w:ind w:left="10"/>
        <w:jc w:val="both"/>
        <w:rPr>
          <w:rFonts w:ascii="Aptos" w:hAnsi="Aptos"/>
          <w:sz w:val="28"/>
          <w:szCs w:val="28"/>
        </w:rPr>
      </w:pPr>
    </w:p>
    <w:p w14:paraId="488E6F61" w14:textId="77777777" w:rsidR="009E1F57" w:rsidRPr="009E1F57" w:rsidRDefault="009E1F57" w:rsidP="009E1F57">
      <w:pPr>
        <w:spacing w:after="0" w:line="240" w:lineRule="auto"/>
        <w:ind w:left="10"/>
        <w:jc w:val="both"/>
        <w:rPr>
          <w:rFonts w:ascii="Aptos" w:hAnsi="Aptos"/>
          <w:sz w:val="28"/>
          <w:szCs w:val="28"/>
        </w:rPr>
      </w:pPr>
    </w:p>
    <w:p w14:paraId="7CB8F672" w14:textId="77777777" w:rsidR="00170070" w:rsidRPr="009E1F57" w:rsidRDefault="00000000" w:rsidP="009E1F57">
      <w:pPr>
        <w:spacing w:after="0" w:line="240" w:lineRule="auto"/>
        <w:ind w:left="10"/>
        <w:jc w:val="both"/>
        <w:rPr>
          <w:rFonts w:ascii="Aptos" w:hAnsi="Aptos"/>
          <w:sz w:val="28"/>
          <w:szCs w:val="28"/>
        </w:rPr>
      </w:pPr>
      <w:r w:rsidRPr="009E1F57">
        <w:rPr>
          <w:rFonts w:ascii="Aptos" w:hAnsi="Aptos"/>
          <w:sz w:val="28"/>
          <w:szCs w:val="28"/>
        </w:rPr>
        <w:t xml:space="preserve">Superior formulation, ideal product for indoor and outdoor applications. </w:t>
      </w:r>
    </w:p>
    <w:p w14:paraId="5ED37E7B" w14:textId="77777777" w:rsidR="00170070" w:rsidRPr="009E1F57" w:rsidRDefault="00000000" w:rsidP="009E1F57">
      <w:pPr>
        <w:spacing w:after="0" w:line="240" w:lineRule="auto"/>
        <w:ind w:left="10"/>
        <w:jc w:val="both"/>
        <w:rPr>
          <w:rFonts w:ascii="Aptos" w:hAnsi="Aptos"/>
          <w:sz w:val="28"/>
          <w:szCs w:val="28"/>
        </w:rPr>
      </w:pPr>
      <w:r w:rsidRPr="009E1F57">
        <w:rPr>
          <w:rFonts w:ascii="Aptos" w:hAnsi="Aptos"/>
          <w:sz w:val="28"/>
          <w:szCs w:val="28"/>
        </w:rPr>
        <w:t xml:space="preserve"> </w:t>
      </w:r>
    </w:p>
    <w:p w14:paraId="72A81351" w14:textId="77777777" w:rsidR="00170070" w:rsidRPr="009E1F57" w:rsidRDefault="00000000" w:rsidP="009E1F57">
      <w:pPr>
        <w:spacing w:after="0" w:line="240" w:lineRule="auto"/>
        <w:ind w:left="10"/>
        <w:jc w:val="both"/>
        <w:rPr>
          <w:rFonts w:ascii="Aptos" w:hAnsi="Aptos"/>
          <w:sz w:val="28"/>
          <w:szCs w:val="28"/>
        </w:rPr>
      </w:pPr>
      <w:r w:rsidRPr="009E1F57">
        <w:rPr>
          <w:rFonts w:ascii="Aptos" w:hAnsi="Aptos"/>
          <w:sz w:val="28"/>
          <w:szCs w:val="28"/>
        </w:rPr>
        <w:t xml:space="preserve">Suitable for traditional style rendering methods. </w:t>
      </w:r>
    </w:p>
    <w:p w14:paraId="34F9F413" w14:textId="77777777" w:rsidR="00170070" w:rsidRPr="009E1F57" w:rsidRDefault="00000000" w:rsidP="009E1F57">
      <w:pPr>
        <w:spacing w:after="0" w:line="240" w:lineRule="auto"/>
        <w:ind w:left="10"/>
        <w:jc w:val="both"/>
        <w:rPr>
          <w:rFonts w:ascii="Aptos" w:hAnsi="Aptos"/>
          <w:sz w:val="28"/>
          <w:szCs w:val="28"/>
        </w:rPr>
      </w:pPr>
      <w:r w:rsidRPr="009E1F57">
        <w:rPr>
          <w:rFonts w:ascii="Aptos" w:hAnsi="Aptos"/>
          <w:sz w:val="28"/>
          <w:szCs w:val="28"/>
        </w:rPr>
        <w:t xml:space="preserve"> </w:t>
      </w:r>
    </w:p>
    <w:p w14:paraId="74155B3C" w14:textId="501796AF" w:rsidR="00170070" w:rsidRPr="009E1F57" w:rsidRDefault="00000000" w:rsidP="009E1F57">
      <w:pPr>
        <w:spacing w:after="0" w:line="240" w:lineRule="auto"/>
        <w:ind w:left="10"/>
        <w:jc w:val="both"/>
        <w:rPr>
          <w:rFonts w:ascii="Aptos" w:hAnsi="Aptos"/>
          <w:sz w:val="28"/>
          <w:szCs w:val="28"/>
        </w:rPr>
      </w:pPr>
      <w:r w:rsidRPr="009E1F57">
        <w:rPr>
          <w:rFonts w:ascii="Aptos" w:hAnsi="Aptos"/>
          <w:sz w:val="28"/>
          <w:szCs w:val="28"/>
        </w:rPr>
        <w:t xml:space="preserve">Ideal for bonding a large range of substrates including AAC blocks, brickwork, concrete and concrete block work.  </w:t>
      </w:r>
    </w:p>
    <w:p w14:paraId="725A00EF" w14:textId="77777777" w:rsidR="00170070" w:rsidRPr="009E1F57" w:rsidRDefault="00000000" w:rsidP="009E1F57">
      <w:pPr>
        <w:spacing w:after="0" w:line="240" w:lineRule="auto"/>
        <w:ind w:left="10"/>
        <w:jc w:val="both"/>
        <w:rPr>
          <w:rFonts w:ascii="Aptos" w:hAnsi="Aptos"/>
          <w:sz w:val="28"/>
          <w:szCs w:val="28"/>
        </w:rPr>
      </w:pPr>
      <w:r w:rsidRPr="009E1F57">
        <w:rPr>
          <w:rFonts w:ascii="Aptos" w:hAnsi="Aptos"/>
          <w:sz w:val="28"/>
          <w:szCs w:val="28"/>
        </w:rPr>
        <w:t xml:space="preserve"> </w:t>
      </w:r>
    </w:p>
    <w:p w14:paraId="01E2BFA6" w14:textId="69C10AB1" w:rsidR="00170070" w:rsidRPr="009E1F57" w:rsidRDefault="00000000" w:rsidP="009E1F57">
      <w:pPr>
        <w:spacing w:after="0" w:line="240" w:lineRule="auto"/>
        <w:ind w:left="10"/>
        <w:jc w:val="both"/>
        <w:rPr>
          <w:rFonts w:ascii="Aptos" w:hAnsi="Aptos"/>
          <w:sz w:val="28"/>
          <w:szCs w:val="28"/>
        </w:rPr>
      </w:pPr>
      <w:r w:rsidRPr="009E1F57">
        <w:rPr>
          <w:rFonts w:ascii="Aptos" w:hAnsi="Aptos"/>
          <w:sz w:val="28"/>
          <w:szCs w:val="28"/>
        </w:rPr>
        <w:t xml:space="preserve">Low VOC content- meets Green Building Council of Australia Green </w:t>
      </w:r>
      <w:r w:rsidR="009E1F57" w:rsidRPr="009E1F57">
        <w:rPr>
          <w:rFonts w:ascii="Aptos" w:hAnsi="Aptos"/>
          <w:sz w:val="28"/>
          <w:szCs w:val="28"/>
        </w:rPr>
        <w:t>Star IEQ</w:t>
      </w:r>
      <w:r w:rsidRPr="009E1F57">
        <w:rPr>
          <w:rFonts w:ascii="Aptos" w:hAnsi="Aptos"/>
          <w:sz w:val="28"/>
          <w:szCs w:val="28"/>
        </w:rPr>
        <w:t xml:space="preserve">-13 requirements. </w:t>
      </w:r>
    </w:p>
    <w:p w14:paraId="72DEE94A" w14:textId="0A5DF819" w:rsidR="00170070" w:rsidRPr="009E1F57" w:rsidRDefault="00000000" w:rsidP="009E1F57">
      <w:pPr>
        <w:spacing w:after="0" w:line="240" w:lineRule="auto"/>
        <w:ind w:left="10"/>
        <w:jc w:val="both"/>
        <w:rPr>
          <w:rFonts w:ascii="Aptos" w:hAnsi="Aptos"/>
          <w:sz w:val="28"/>
          <w:szCs w:val="28"/>
        </w:rPr>
      </w:pPr>
      <w:r w:rsidRPr="009E1F57">
        <w:rPr>
          <w:rFonts w:ascii="Aptos" w:hAnsi="Aptos"/>
          <w:sz w:val="28"/>
          <w:szCs w:val="28"/>
        </w:rPr>
        <w:t xml:space="preserve"> </w:t>
      </w:r>
    </w:p>
    <w:p w14:paraId="6CA8BF9B" w14:textId="39C3F12C" w:rsidR="00170070"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72E4ECCF" w14:textId="77777777" w:rsidR="009E1F57" w:rsidRDefault="009E1F57" w:rsidP="009E1F57">
      <w:pPr>
        <w:spacing w:after="0" w:line="240" w:lineRule="auto"/>
        <w:ind w:left="10"/>
        <w:jc w:val="both"/>
        <w:rPr>
          <w:rFonts w:ascii="Aptos" w:hAnsi="Aptos"/>
          <w:szCs w:val="20"/>
        </w:rPr>
      </w:pPr>
    </w:p>
    <w:p w14:paraId="4DAF0B4D" w14:textId="77777777" w:rsidR="009E1F57" w:rsidRDefault="009E1F57" w:rsidP="009E1F57">
      <w:pPr>
        <w:spacing w:after="0" w:line="240" w:lineRule="auto"/>
        <w:ind w:left="10"/>
        <w:jc w:val="both"/>
        <w:rPr>
          <w:rFonts w:ascii="Aptos" w:hAnsi="Aptos"/>
          <w:szCs w:val="20"/>
        </w:rPr>
      </w:pPr>
    </w:p>
    <w:p w14:paraId="0170A9EB" w14:textId="77777777" w:rsidR="009E1F57" w:rsidRDefault="009E1F57" w:rsidP="009E1F57">
      <w:pPr>
        <w:spacing w:after="0" w:line="240" w:lineRule="auto"/>
        <w:ind w:left="10"/>
        <w:jc w:val="both"/>
        <w:rPr>
          <w:rFonts w:ascii="Aptos" w:hAnsi="Aptos"/>
          <w:szCs w:val="20"/>
        </w:rPr>
      </w:pPr>
    </w:p>
    <w:p w14:paraId="7D1AEE8C" w14:textId="3E8D10A1" w:rsidR="009E1F57" w:rsidRDefault="009E1F57" w:rsidP="009E1F57">
      <w:pPr>
        <w:spacing w:after="0" w:line="240" w:lineRule="auto"/>
        <w:ind w:left="10"/>
        <w:jc w:val="both"/>
        <w:rPr>
          <w:rFonts w:ascii="Aptos" w:hAnsi="Aptos"/>
          <w:szCs w:val="20"/>
        </w:rPr>
      </w:pPr>
    </w:p>
    <w:p w14:paraId="2C81E738" w14:textId="6814F321" w:rsidR="009E1F57" w:rsidRDefault="009E1F57" w:rsidP="009E1F57">
      <w:pPr>
        <w:spacing w:after="0" w:line="240" w:lineRule="auto"/>
        <w:ind w:left="10"/>
        <w:jc w:val="both"/>
        <w:rPr>
          <w:rFonts w:ascii="Aptos" w:hAnsi="Aptos"/>
          <w:szCs w:val="20"/>
        </w:rPr>
      </w:pPr>
    </w:p>
    <w:p w14:paraId="4B4C6476" w14:textId="30C755BD" w:rsidR="009E1F57" w:rsidRDefault="009E1F57" w:rsidP="009E1F57">
      <w:pPr>
        <w:spacing w:after="0" w:line="240" w:lineRule="auto"/>
        <w:ind w:left="10"/>
        <w:jc w:val="both"/>
        <w:rPr>
          <w:rFonts w:ascii="Aptos" w:hAnsi="Aptos"/>
          <w:szCs w:val="20"/>
        </w:rPr>
      </w:pPr>
    </w:p>
    <w:p w14:paraId="1FA52D43" w14:textId="52039CC4" w:rsidR="009E1F57" w:rsidRDefault="009E1F57" w:rsidP="009E1F57">
      <w:pPr>
        <w:spacing w:after="0" w:line="240" w:lineRule="auto"/>
        <w:ind w:left="10"/>
        <w:jc w:val="both"/>
        <w:rPr>
          <w:rFonts w:ascii="Aptos" w:hAnsi="Aptos"/>
          <w:szCs w:val="20"/>
        </w:rPr>
      </w:pPr>
      <w:r>
        <w:rPr>
          <w:rFonts w:ascii="Aptos" w:hAnsi="Aptos"/>
          <w:noProof/>
          <w:szCs w:val="20"/>
        </w:rPr>
        <w:drawing>
          <wp:anchor distT="0" distB="0" distL="114300" distR="114300" simplePos="0" relativeHeight="251664384" behindDoc="0" locked="0" layoutInCell="1" allowOverlap="1" wp14:anchorId="78A1EEEF" wp14:editId="6FA1E231">
            <wp:simplePos x="0" y="0"/>
            <wp:positionH relativeFrom="margin">
              <wp:align>right</wp:align>
            </wp:positionH>
            <wp:positionV relativeFrom="paragraph">
              <wp:posOffset>194945</wp:posOffset>
            </wp:positionV>
            <wp:extent cx="6648450" cy="847725"/>
            <wp:effectExtent l="0" t="0" r="0" b="9525"/>
            <wp:wrapSquare wrapText="bothSides"/>
            <wp:docPr id="1228847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p>
    <w:p w14:paraId="59FCD0F1" w14:textId="185ADA56" w:rsidR="009E1F57" w:rsidRPr="009E1F57" w:rsidRDefault="009E1F57" w:rsidP="009E1F57">
      <w:pPr>
        <w:spacing w:after="0" w:line="240" w:lineRule="auto"/>
        <w:ind w:left="10"/>
        <w:rPr>
          <w:rFonts w:ascii="Britannic Bold" w:hAnsi="Britannic Bold"/>
          <w:color w:val="FFD966" w:themeColor="accent4" w:themeTint="99"/>
          <w:sz w:val="60"/>
          <w:szCs w:val="60"/>
        </w:rPr>
      </w:pPr>
      <w:r w:rsidRPr="009E1F57">
        <w:rPr>
          <w:rFonts w:ascii="Britannic Bold" w:hAnsi="Britannic Bold"/>
          <w:color w:val="FFD966" w:themeColor="accent4" w:themeTint="99"/>
          <w:sz w:val="60"/>
          <w:szCs w:val="60"/>
        </w:rPr>
        <w:lastRenderedPageBreak/>
        <w:t>SPR ACRYLI</w:t>
      </w:r>
      <w:r>
        <w:rPr>
          <w:rFonts w:ascii="Britannic Bold" w:hAnsi="Britannic Bold"/>
          <w:color w:val="FFD966" w:themeColor="accent4" w:themeTint="99"/>
          <w:sz w:val="60"/>
          <w:szCs w:val="60"/>
        </w:rPr>
        <w:t xml:space="preserve">C: </w:t>
      </w:r>
      <w:r w:rsidRPr="009E1F57">
        <w:rPr>
          <w:rFonts w:ascii="Aptos" w:eastAsia="Cambria" w:hAnsi="Aptos" w:cs="Cambria"/>
          <w:sz w:val="28"/>
          <w:szCs w:val="28"/>
        </w:rPr>
        <w:t>SMOOTH POLYMER RENDER</w:t>
      </w:r>
    </w:p>
    <w:p w14:paraId="247B5AA0" w14:textId="741166E2" w:rsidR="00170070" w:rsidRPr="009E1F57" w:rsidRDefault="00000000" w:rsidP="009E1F57">
      <w:pPr>
        <w:spacing w:after="0" w:line="240" w:lineRule="auto"/>
        <w:ind w:left="10"/>
        <w:jc w:val="both"/>
        <w:rPr>
          <w:rFonts w:ascii="Aptos" w:hAnsi="Aptos"/>
          <w:szCs w:val="20"/>
        </w:rPr>
      </w:pPr>
      <w:r w:rsidRPr="009E1F57">
        <w:rPr>
          <w:rFonts w:ascii="Aptos" w:eastAsia="Times New Roman" w:hAnsi="Aptos" w:cs="Times New Roman"/>
          <w:szCs w:val="20"/>
        </w:rPr>
        <w:t xml:space="preserve"> </w:t>
      </w:r>
      <w:r w:rsidRPr="009E1F57">
        <w:rPr>
          <w:rFonts w:ascii="Aptos" w:eastAsia="Times New Roman" w:hAnsi="Aptos" w:cs="Times New Roman"/>
          <w:szCs w:val="20"/>
        </w:rPr>
        <w:tab/>
      </w:r>
      <w:r w:rsidRPr="009E1F57">
        <w:rPr>
          <w:rFonts w:ascii="Aptos" w:hAnsi="Aptos"/>
          <w:szCs w:val="20"/>
        </w:rPr>
        <w:t xml:space="preserve"> </w:t>
      </w:r>
    </w:p>
    <w:p w14:paraId="2B5067B2" w14:textId="77777777" w:rsidR="00170070" w:rsidRPr="009E1F57" w:rsidRDefault="00000000" w:rsidP="009E1F57">
      <w:pPr>
        <w:spacing w:after="0" w:line="240" w:lineRule="auto"/>
        <w:ind w:left="10"/>
        <w:jc w:val="both"/>
        <w:rPr>
          <w:rFonts w:ascii="Aptos" w:hAnsi="Aptos"/>
          <w:sz w:val="22"/>
        </w:rPr>
      </w:pPr>
      <w:r w:rsidRPr="009E1F57">
        <w:rPr>
          <w:rFonts w:ascii="Aptos" w:hAnsi="Aptos"/>
          <w:noProof/>
          <w:sz w:val="22"/>
        </w:rPr>
        <w:drawing>
          <wp:anchor distT="0" distB="0" distL="114300" distR="114300" simplePos="0" relativeHeight="251661312" behindDoc="0" locked="0" layoutInCell="1" allowOverlap="0" wp14:anchorId="208DF5A9" wp14:editId="01162685">
            <wp:simplePos x="0" y="0"/>
            <wp:positionH relativeFrom="column">
              <wp:posOffset>136017</wp:posOffset>
            </wp:positionH>
            <wp:positionV relativeFrom="paragraph">
              <wp:posOffset>-31066</wp:posOffset>
            </wp:positionV>
            <wp:extent cx="785482" cy="7437120"/>
            <wp:effectExtent l="0" t="0" r="0" b="0"/>
            <wp:wrapSquare wrapText="bothSides"/>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5"/>
                    <a:stretch>
                      <a:fillRect/>
                    </a:stretch>
                  </pic:blipFill>
                  <pic:spPr>
                    <a:xfrm>
                      <a:off x="0" y="0"/>
                      <a:ext cx="785482" cy="7437120"/>
                    </a:xfrm>
                    <a:prstGeom prst="rect">
                      <a:avLst/>
                    </a:prstGeom>
                  </pic:spPr>
                </pic:pic>
              </a:graphicData>
            </a:graphic>
          </wp:anchor>
        </w:drawing>
      </w:r>
      <w:r w:rsidRPr="009E1F57">
        <w:rPr>
          <w:rFonts w:ascii="Aptos" w:hAnsi="Aptos"/>
          <w:sz w:val="22"/>
        </w:rPr>
        <w:t xml:space="preserve">Characteristics </w:t>
      </w:r>
    </w:p>
    <w:p w14:paraId="46A6DAA6"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SPR acrylic is a multipurpose, acrylic render that boasts superior trowelability and its unique formulation allows it to be applied up to 10mm with no sagging or cracking.  SPR acrylic can be applied using traditional hawk and trowel methods over brick work, AAC blocks, concrete and concrete block work.  </w:t>
      </w:r>
    </w:p>
    <w:p w14:paraId="0A1EFAFC"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618F3F81" w14:textId="77777777" w:rsidR="00170070" w:rsidRPr="009E1F57" w:rsidRDefault="00000000" w:rsidP="009E1F57">
      <w:pPr>
        <w:spacing w:after="0" w:line="240" w:lineRule="auto"/>
        <w:ind w:left="10"/>
        <w:jc w:val="both"/>
        <w:rPr>
          <w:rFonts w:ascii="Aptos" w:hAnsi="Aptos"/>
          <w:sz w:val="22"/>
        </w:rPr>
      </w:pPr>
      <w:r w:rsidRPr="009E1F57">
        <w:rPr>
          <w:rFonts w:ascii="Aptos" w:hAnsi="Aptos"/>
          <w:sz w:val="22"/>
        </w:rPr>
        <w:t xml:space="preserve">Preparation </w:t>
      </w:r>
    </w:p>
    <w:p w14:paraId="4F842D46"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Ensure new concrete is allowed to cure for a minimum of 5 days.  Ensure all surfaces are sound, dry and free from oil, dust, grease, wax, curing compounds, release agents and any other contaminating materials. It is recommended that all dry and porous surfaces should be primed first using Nova Mix Additive with water mixed 1:1. Warning, do not over seal, only apply one coat.  Where excessive suction is a problem add approximately 200ml of Nova Mix Additive per bag to first coat. </w:t>
      </w:r>
    </w:p>
    <w:p w14:paraId="1CC9C879"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1A0C52E0" w14:textId="31C9C23A" w:rsidR="009E1F57" w:rsidRDefault="009E1F57" w:rsidP="009E1F57">
      <w:pPr>
        <w:spacing w:after="0" w:line="240" w:lineRule="auto"/>
        <w:ind w:left="10"/>
        <w:jc w:val="both"/>
        <w:rPr>
          <w:rFonts w:ascii="Aptos" w:hAnsi="Aptos"/>
          <w:noProof/>
          <w:szCs w:val="20"/>
        </w:rPr>
      </w:pPr>
    </w:p>
    <w:p w14:paraId="041C8EF8" w14:textId="41753EF0" w:rsidR="00170070" w:rsidRPr="009E1F57" w:rsidRDefault="00000000" w:rsidP="009E1F57">
      <w:pPr>
        <w:spacing w:after="0" w:line="240" w:lineRule="auto"/>
        <w:ind w:left="10"/>
        <w:jc w:val="both"/>
        <w:rPr>
          <w:rFonts w:ascii="Aptos" w:hAnsi="Aptos"/>
          <w:sz w:val="22"/>
        </w:rPr>
      </w:pPr>
      <w:r w:rsidRPr="009E1F57">
        <w:rPr>
          <w:rFonts w:ascii="Aptos" w:hAnsi="Aptos"/>
          <w:sz w:val="22"/>
        </w:rPr>
        <w:t xml:space="preserve">Mixing </w:t>
      </w:r>
    </w:p>
    <w:p w14:paraId="56A57EBC" w14:textId="70DFEF76"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Depending on weather conditions and application a slight variation in the amount of water may be required.  The mixing ratio of SPR Acrylic is 20kg of powder to 3.0 to 3.5 </w:t>
      </w:r>
      <w:r w:rsidR="009E1F57" w:rsidRPr="009E1F57">
        <w:rPr>
          <w:rFonts w:ascii="Aptos" w:hAnsi="Aptos"/>
          <w:szCs w:val="20"/>
        </w:rPr>
        <w:t>Liters</w:t>
      </w:r>
      <w:r w:rsidRPr="009E1F57">
        <w:rPr>
          <w:rFonts w:ascii="Aptos" w:hAnsi="Aptos"/>
          <w:szCs w:val="20"/>
        </w:rPr>
        <w:t xml:space="preserve"> of water.  Pour 3.0 to 3.5 </w:t>
      </w:r>
      <w:r w:rsidR="009E1F57" w:rsidRPr="009E1F57">
        <w:rPr>
          <w:rFonts w:ascii="Aptos" w:hAnsi="Aptos"/>
          <w:szCs w:val="20"/>
        </w:rPr>
        <w:t>Liters</w:t>
      </w:r>
      <w:r w:rsidRPr="009E1F57">
        <w:rPr>
          <w:rFonts w:ascii="Aptos" w:hAnsi="Aptos"/>
          <w:szCs w:val="20"/>
        </w:rPr>
        <w:t xml:space="preserve"> of clean water into a drum and then gradually add the SPR Acrylic while mixing continuously until smooth lump free mix is obtained.  Always add powder to liquid.  Allow the mix to stand for 5 min.  Re stir and the SPR Acrylic is ready to use. </w:t>
      </w:r>
    </w:p>
    <w:p w14:paraId="25FBC671" w14:textId="60F69366"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46F8B637" w14:textId="77777777" w:rsidR="00170070" w:rsidRPr="009E1F57" w:rsidRDefault="00000000" w:rsidP="009E1F57">
      <w:pPr>
        <w:spacing w:after="0" w:line="240" w:lineRule="auto"/>
        <w:ind w:left="10"/>
        <w:jc w:val="both"/>
        <w:rPr>
          <w:rFonts w:ascii="Aptos" w:hAnsi="Aptos"/>
          <w:sz w:val="22"/>
        </w:rPr>
      </w:pPr>
      <w:r w:rsidRPr="009E1F57">
        <w:rPr>
          <w:rFonts w:ascii="Aptos" w:hAnsi="Aptos"/>
          <w:sz w:val="22"/>
        </w:rPr>
        <w:t xml:space="preserve">Application  </w:t>
      </w:r>
    </w:p>
    <w:p w14:paraId="4E733BAA"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Once the substrate has been correctly prepared in accordance with the above instructions. Trowel on SPR Acrylic evenly onto surface. A straight edge can be used to check level or flatness of the applied render. Allow render to stand for 10 -30 minutes, depending on ambient and surface conditions. Using a wooden float or plastic float work can begin on rendered surface. For a sandy finish use a sponge float to achieve required effect. SPR Acrylic is useable for up to 1 hour at 23</w:t>
      </w:r>
      <w:r w:rsidRPr="009E1F57">
        <w:rPr>
          <w:rFonts w:ascii="Aptos" w:hAnsi="Aptos"/>
          <w:szCs w:val="20"/>
          <w:vertAlign w:val="superscript"/>
        </w:rPr>
        <w:t>O</w:t>
      </w:r>
      <w:r w:rsidRPr="009E1F57">
        <w:rPr>
          <w:rFonts w:ascii="Aptos" w:hAnsi="Aptos"/>
          <w:szCs w:val="20"/>
        </w:rPr>
        <w:t xml:space="preserve">C and 50% relative humidity.  </w:t>
      </w:r>
    </w:p>
    <w:p w14:paraId="35C4C0E0" w14:textId="15005ABE"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58281C3A" w14:textId="77777777" w:rsidR="00170070" w:rsidRPr="009E1F57" w:rsidRDefault="00000000" w:rsidP="009E1F57">
      <w:pPr>
        <w:spacing w:after="0" w:line="240" w:lineRule="auto"/>
        <w:ind w:left="10"/>
        <w:jc w:val="both"/>
        <w:rPr>
          <w:rFonts w:ascii="Aptos" w:hAnsi="Aptos"/>
          <w:sz w:val="22"/>
        </w:rPr>
      </w:pPr>
      <w:r w:rsidRPr="009E1F57">
        <w:rPr>
          <w:rFonts w:ascii="Aptos" w:hAnsi="Aptos"/>
          <w:sz w:val="22"/>
        </w:rPr>
        <w:t xml:space="preserve">Drying Time </w:t>
      </w:r>
    </w:p>
    <w:p w14:paraId="15CFC885"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SPR Acrylic is touch dry in 2 to 4hrs at 23°C.  Second coat may be applied after 6-</w:t>
      </w:r>
      <w:proofErr w:type="gramStart"/>
      <w:r w:rsidRPr="009E1F57">
        <w:rPr>
          <w:rFonts w:ascii="Aptos" w:hAnsi="Aptos"/>
          <w:szCs w:val="20"/>
        </w:rPr>
        <w:t>8hrs</w:t>
      </w:r>
      <w:proofErr w:type="gramEnd"/>
      <w:r w:rsidRPr="009E1F57">
        <w:rPr>
          <w:rFonts w:ascii="Aptos" w:hAnsi="Aptos"/>
          <w:szCs w:val="20"/>
        </w:rPr>
        <w:t xml:space="preserve"> and surface will reach full cure after 7 days.  Before application of a decorative finish (i.e. paint) allow SPR Acrylic to cure for a minimum of 1 day per 2mm thickness of the render.  Cold, damp or humid conditions may lengthen the drying time. </w:t>
      </w:r>
    </w:p>
    <w:p w14:paraId="5F4C5BEC"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0F6F6320" w14:textId="77777777" w:rsidR="00170070" w:rsidRPr="009E1F57" w:rsidRDefault="00000000" w:rsidP="009E1F57">
      <w:pPr>
        <w:spacing w:after="0" w:line="240" w:lineRule="auto"/>
        <w:ind w:left="10"/>
        <w:jc w:val="both"/>
        <w:rPr>
          <w:rFonts w:ascii="Aptos" w:hAnsi="Aptos"/>
          <w:sz w:val="22"/>
        </w:rPr>
      </w:pPr>
      <w:r w:rsidRPr="009E1F57">
        <w:rPr>
          <w:rFonts w:ascii="Aptos" w:hAnsi="Aptos"/>
          <w:sz w:val="22"/>
        </w:rPr>
        <w:t xml:space="preserve">Coverage </w:t>
      </w:r>
    </w:p>
    <w:p w14:paraId="3F3A75CD"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2-4m² per 20kg bag depending on surface and application thickness. </w:t>
      </w:r>
    </w:p>
    <w:p w14:paraId="40C615A2"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0A38D1BB" w14:textId="77777777" w:rsidR="00170070" w:rsidRPr="009E1F57" w:rsidRDefault="00000000" w:rsidP="009E1F57">
      <w:pPr>
        <w:spacing w:after="0" w:line="240" w:lineRule="auto"/>
        <w:ind w:left="10"/>
        <w:jc w:val="both"/>
        <w:rPr>
          <w:rFonts w:ascii="Aptos" w:hAnsi="Aptos"/>
          <w:sz w:val="22"/>
        </w:rPr>
      </w:pPr>
      <w:r w:rsidRPr="009E1F57">
        <w:rPr>
          <w:rFonts w:ascii="Aptos" w:hAnsi="Aptos"/>
          <w:sz w:val="22"/>
        </w:rPr>
        <w:t xml:space="preserve">Cleaning </w:t>
      </w:r>
    </w:p>
    <w:p w14:paraId="40D2994C"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SPR Acrylic can be cleaned off equipment with water, provided the compound has not dried. Keep out of sewers and storm water.  Sweep up spills.   </w:t>
      </w:r>
    </w:p>
    <w:p w14:paraId="6A4FD272"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13495774" w14:textId="77777777" w:rsidR="00170070" w:rsidRPr="009E1F57" w:rsidRDefault="00000000" w:rsidP="009E1F57">
      <w:pPr>
        <w:spacing w:after="0" w:line="240" w:lineRule="auto"/>
        <w:ind w:left="10"/>
        <w:jc w:val="both"/>
        <w:rPr>
          <w:rFonts w:ascii="Aptos" w:hAnsi="Aptos"/>
          <w:sz w:val="22"/>
        </w:rPr>
      </w:pPr>
      <w:r w:rsidRPr="009E1F57">
        <w:rPr>
          <w:rFonts w:ascii="Aptos" w:hAnsi="Aptos"/>
          <w:sz w:val="22"/>
        </w:rPr>
        <w:t xml:space="preserve">Shelf Life </w:t>
      </w:r>
    </w:p>
    <w:p w14:paraId="7FACB02A"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9 months when stored in a dry place, in original unopened packaging. </w:t>
      </w:r>
    </w:p>
    <w:p w14:paraId="1EEF2FD9"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590B6395"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24F83D79"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625B0579"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58EDEDD7"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3ACA26C0"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783D5ED3"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656BC501"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7271970B"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0ABC7F7B"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7C73362C" w14:textId="47523FD6" w:rsidR="00170070" w:rsidRPr="009E1F57" w:rsidRDefault="00000000" w:rsidP="009E1F57">
      <w:pPr>
        <w:spacing w:after="0" w:line="240" w:lineRule="auto"/>
        <w:ind w:left="10"/>
        <w:jc w:val="center"/>
        <w:rPr>
          <w:rFonts w:ascii="Aptos" w:hAnsi="Aptos"/>
          <w:b/>
          <w:bCs/>
          <w:sz w:val="16"/>
          <w:szCs w:val="16"/>
        </w:rPr>
      </w:pPr>
      <w:r w:rsidRPr="009E1F57">
        <w:rPr>
          <w:rFonts w:ascii="Aptos" w:eastAsia="Times New Roman" w:hAnsi="Aptos" w:cs="Times New Roman"/>
          <w:b/>
          <w:bCs/>
          <w:i/>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9E1F57" w:rsidRPr="009E1F57">
        <w:rPr>
          <w:rFonts w:ascii="Aptos" w:eastAsia="Times New Roman" w:hAnsi="Aptos" w:cs="Times New Roman"/>
          <w:b/>
          <w:bCs/>
          <w:i/>
          <w:sz w:val="16"/>
          <w:szCs w:val="16"/>
        </w:rPr>
        <w:t>.</w:t>
      </w:r>
    </w:p>
    <w:p w14:paraId="6AF2216E" w14:textId="77777777" w:rsidR="00170070" w:rsidRPr="009E1F57" w:rsidRDefault="00000000" w:rsidP="009E1F57">
      <w:pPr>
        <w:spacing w:after="0" w:line="240" w:lineRule="auto"/>
        <w:ind w:left="10"/>
        <w:rPr>
          <w:rFonts w:ascii="Aptos" w:hAnsi="Aptos"/>
          <w:szCs w:val="20"/>
        </w:rPr>
      </w:pPr>
      <w:r w:rsidRPr="009E1F57">
        <w:rPr>
          <w:rFonts w:ascii="Aptos" w:eastAsia="Times New Roman" w:hAnsi="Aptos" w:cs="Times New Roman"/>
          <w:szCs w:val="20"/>
        </w:rPr>
        <w:lastRenderedPageBreak/>
        <w:t xml:space="preserve"> </w:t>
      </w:r>
    </w:p>
    <w:p w14:paraId="50A7F52B" w14:textId="46FEA462" w:rsidR="009E1F57" w:rsidRDefault="009E1F57" w:rsidP="009E1F57">
      <w:pPr>
        <w:spacing w:after="0" w:line="240" w:lineRule="auto"/>
        <w:ind w:left="10"/>
        <w:rPr>
          <w:rFonts w:ascii="Aptos" w:eastAsia="Cambria" w:hAnsi="Aptos" w:cs="Cambria"/>
          <w:sz w:val="28"/>
          <w:szCs w:val="28"/>
        </w:rPr>
      </w:pPr>
      <w:r w:rsidRPr="009E1F57">
        <w:rPr>
          <w:rFonts w:ascii="Britannic Bold" w:hAnsi="Britannic Bold"/>
          <w:color w:val="FFD966" w:themeColor="accent4" w:themeTint="99"/>
          <w:sz w:val="60"/>
          <w:szCs w:val="60"/>
        </w:rPr>
        <w:t>SPR ACRYLI</w:t>
      </w:r>
      <w:r>
        <w:rPr>
          <w:rFonts w:ascii="Britannic Bold" w:hAnsi="Britannic Bold"/>
          <w:color w:val="FFD966" w:themeColor="accent4" w:themeTint="99"/>
          <w:sz w:val="60"/>
          <w:szCs w:val="60"/>
        </w:rPr>
        <w:t xml:space="preserve">C: </w:t>
      </w:r>
      <w:r w:rsidRPr="009E1F57">
        <w:rPr>
          <w:rFonts w:ascii="Aptos" w:eastAsia="Cambria" w:hAnsi="Aptos" w:cs="Cambria"/>
          <w:sz w:val="28"/>
          <w:szCs w:val="28"/>
        </w:rPr>
        <w:t>SMOOTH POLYMER RENDER</w:t>
      </w:r>
    </w:p>
    <w:p w14:paraId="22D650F8" w14:textId="77777777" w:rsidR="009E1F57" w:rsidRPr="009E1F57" w:rsidRDefault="009E1F57" w:rsidP="009E1F57">
      <w:pPr>
        <w:spacing w:after="0" w:line="240" w:lineRule="auto"/>
        <w:ind w:left="10"/>
        <w:rPr>
          <w:rFonts w:ascii="Britannic Bold" w:hAnsi="Britannic Bold"/>
          <w:color w:val="FFD966" w:themeColor="accent4" w:themeTint="99"/>
          <w:szCs w:val="20"/>
        </w:rPr>
      </w:pPr>
    </w:p>
    <w:tbl>
      <w:tblPr>
        <w:tblStyle w:val="TableGrid"/>
        <w:tblpPr w:vertAnchor="text" w:horzAnchor="margin" w:tblpXSpec="right" w:tblpY="4776"/>
        <w:tblOverlap w:val="never"/>
        <w:tblW w:w="8757" w:type="dxa"/>
        <w:tblInd w:w="0" w:type="dxa"/>
        <w:tblCellMar>
          <w:top w:w="40" w:type="dxa"/>
          <w:left w:w="130" w:type="dxa"/>
          <w:bottom w:w="0" w:type="dxa"/>
          <w:right w:w="115" w:type="dxa"/>
        </w:tblCellMar>
        <w:tblLook w:val="04A0" w:firstRow="1" w:lastRow="0" w:firstColumn="1" w:lastColumn="0" w:noHBand="0" w:noVBand="1"/>
      </w:tblPr>
      <w:tblGrid>
        <w:gridCol w:w="3257"/>
        <w:gridCol w:w="5500"/>
      </w:tblGrid>
      <w:tr w:rsidR="00170070" w:rsidRPr="009E1F57" w14:paraId="2D2116EF" w14:textId="77777777" w:rsidTr="009E1F57">
        <w:trPr>
          <w:trHeight w:val="283"/>
        </w:trPr>
        <w:tc>
          <w:tcPr>
            <w:tcW w:w="3257" w:type="dxa"/>
            <w:tcBorders>
              <w:top w:val="single" w:sz="4" w:space="0" w:color="000000"/>
              <w:left w:val="single" w:sz="4" w:space="0" w:color="000000"/>
              <w:bottom w:val="single" w:sz="4" w:space="0" w:color="000000"/>
              <w:right w:val="single" w:sz="4" w:space="0" w:color="000000"/>
            </w:tcBorders>
          </w:tcPr>
          <w:p w14:paraId="7DEAF94C" w14:textId="77777777" w:rsidR="00170070" w:rsidRPr="009E1F57" w:rsidRDefault="00000000" w:rsidP="009E1F57">
            <w:pPr>
              <w:spacing w:after="0" w:line="240" w:lineRule="auto"/>
              <w:jc w:val="both"/>
              <w:rPr>
                <w:rFonts w:ascii="Aptos" w:hAnsi="Aptos"/>
                <w:szCs w:val="20"/>
              </w:rPr>
            </w:pPr>
            <w:r w:rsidRPr="009E1F57">
              <w:rPr>
                <w:rFonts w:ascii="Aptos" w:hAnsi="Aptos"/>
                <w:color w:val="262626"/>
                <w:szCs w:val="20"/>
              </w:rPr>
              <w:t xml:space="preserve">Colour </w:t>
            </w:r>
          </w:p>
        </w:tc>
        <w:tc>
          <w:tcPr>
            <w:tcW w:w="5500" w:type="dxa"/>
            <w:tcBorders>
              <w:top w:val="single" w:sz="4" w:space="0" w:color="000000"/>
              <w:left w:val="single" w:sz="4" w:space="0" w:color="000000"/>
              <w:bottom w:val="single" w:sz="4" w:space="0" w:color="000000"/>
              <w:right w:val="single" w:sz="4" w:space="0" w:color="000000"/>
            </w:tcBorders>
          </w:tcPr>
          <w:p w14:paraId="3A6AC555" w14:textId="77777777" w:rsidR="00170070" w:rsidRPr="009E1F57" w:rsidRDefault="00000000" w:rsidP="009E1F57">
            <w:pPr>
              <w:spacing w:after="0" w:line="240" w:lineRule="auto"/>
              <w:jc w:val="both"/>
              <w:rPr>
                <w:rFonts w:ascii="Aptos" w:hAnsi="Aptos"/>
                <w:szCs w:val="20"/>
              </w:rPr>
            </w:pPr>
            <w:r w:rsidRPr="009E1F57">
              <w:rPr>
                <w:rFonts w:ascii="Aptos" w:hAnsi="Aptos"/>
                <w:color w:val="262626"/>
                <w:szCs w:val="20"/>
              </w:rPr>
              <w:t xml:space="preserve">Grey </w:t>
            </w:r>
          </w:p>
        </w:tc>
      </w:tr>
      <w:tr w:rsidR="00170070" w:rsidRPr="009E1F57" w14:paraId="18BC94C7" w14:textId="77777777" w:rsidTr="009E1F57">
        <w:trPr>
          <w:trHeight w:val="230"/>
        </w:trPr>
        <w:tc>
          <w:tcPr>
            <w:tcW w:w="3257" w:type="dxa"/>
            <w:tcBorders>
              <w:top w:val="single" w:sz="4" w:space="0" w:color="000000"/>
              <w:left w:val="single" w:sz="4" w:space="0" w:color="000000"/>
              <w:bottom w:val="single" w:sz="4" w:space="0" w:color="000000"/>
              <w:right w:val="single" w:sz="4" w:space="0" w:color="000000"/>
            </w:tcBorders>
          </w:tcPr>
          <w:p w14:paraId="6979AC7B" w14:textId="77777777" w:rsidR="00170070" w:rsidRPr="009E1F57" w:rsidRDefault="00000000" w:rsidP="009E1F57">
            <w:pPr>
              <w:spacing w:after="0" w:line="240" w:lineRule="auto"/>
              <w:jc w:val="both"/>
              <w:rPr>
                <w:rFonts w:ascii="Aptos" w:hAnsi="Aptos"/>
                <w:szCs w:val="20"/>
              </w:rPr>
            </w:pPr>
            <w:r w:rsidRPr="009E1F57">
              <w:rPr>
                <w:rFonts w:ascii="Aptos" w:hAnsi="Aptos"/>
                <w:color w:val="262626"/>
                <w:szCs w:val="20"/>
              </w:rPr>
              <w:t xml:space="preserve">Pot Life </w:t>
            </w:r>
          </w:p>
        </w:tc>
        <w:tc>
          <w:tcPr>
            <w:tcW w:w="5500" w:type="dxa"/>
            <w:tcBorders>
              <w:top w:val="single" w:sz="4" w:space="0" w:color="000000"/>
              <w:left w:val="single" w:sz="4" w:space="0" w:color="000000"/>
              <w:bottom w:val="single" w:sz="4" w:space="0" w:color="000000"/>
              <w:right w:val="single" w:sz="4" w:space="0" w:color="000000"/>
            </w:tcBorders>
          </w:tcPr>
          <w:p w14:paraId="7BDAECD5" w14:textId="77777777" w:rsidR="00170070" w:rsidRPr="009E1F57" w:rsidRDefault="00000000" w:rsidP="009E1F57">
            <w:pPr>
              <w:spacing w:after="0" w:line="240" w:lineRule="auto"/>
              <w:jc w:val="both"/>
              <w:rPr>
                <w:rFonts w:ascii="Aptos" w:hAnsi="Aptos"/>
                <w:szCs w:val="20"/>
              </w:rPr>
            </w:pPr>
            <w:r w:rsidRPr="009E1F57">
              <w:rPr>
                <w:rFonts w:ascii="Aptos" w:hAnsi="Aptos"/>
                <w:color w:val="262626"/>
                <w:szCs w:val="20"/>
              </w:rPr>
              <w:t xml:space="preserve">hour  </w:t>
            </w:r>
          </w:p>
        </w:tc>
      </w:tr>
      <w:tr w:rsidR="00170070" w:rsidRPr="009E1F57" w14:paraId="14C5469E" w14:textId="77777777" w:rsidTr="009E1F57">
        <w:trPr>
          <w:trHeight w:val="228"/>
        </w:trPr>
        <w:tc>
          <w:tcPr>
            <w:tcW w:w="3257" w:type="dxa"/>
            <w:tcBorders>
              <w:top w:val="single" w:sz="4" w:space="0" w:color="000000"/>
              <w:left w:val="single" w:sz="4" w:space="0" w:color="000000"/>
              <w:bottom w:val="single" w:sz="4" w:space="0" w:color="000000"/>
              <w:right w:val="single" w:sz="4" w:space="0" w:color="000000"/>
            </w:tcBorders>
          </w:tcPr>
          <w:p w14:paraId="15A45144" w14:textId="77777777" w:rsidR="00170070" w:rsidRPr="009E1F57" w:rsidRDefault="00000000" w:rsidP="009E1F57">
            <w:pPr>
              <w:spacing w:after="0" w:line="240" w:lineRule="auto"/>
              <w:jc w:val="both"/>
              <w:rPr>
                <w:rFonts w:ascii="Aptos" w:hAnsi="Aptos"/>
                <w:szCs w:val="20"/>
              </w:rPr>
            </w:pPr>
            <w:r w:rsidRPr="009E1F57">
              <w:rPr>
                <w:rFonts w:ascii="Aptos" w:hAnsi="Aptos"/>
                <w:color w:val="262626"/>
                <w:szCs w:val="20"/>
              </w:rPr>
              <w:t xml:space="preserve">Touch Dry </w:t>
            </w:r>
          </w:p>
        </w:tc>
        <w:tc>
          <w:tcPr>
            <w:tcW w:w="5500" w:type="dxa"/>
            <w:tcBorders>
              <w:top w:val="single" w:sz="4" w:space="0" w:color="000000"/>
              <w:left w:val="single" w:sz="4" w:space="0" w:color="000000"/>
              <w:bottom w:val="single" w:sz="4" w:space="0" w:color="000000"/>
              <w:right w:val="single" w:sz="4" w:space="0" w:color="000000"/>
            </w:tcBorders>
          </w:tcPr>
          <w:p w14:paraId="5BCE4F4E" w14:textId="77777777" w:rsidR="00170070" w:rsidRPr="009E1F57" w:rsidRDefault="00000000" w:rsidP="009E1F57">
            <w:pPr>
              <w:spacing w:after="0" w:line="240" w:lineRule="auto"/>
              <w:jc w:val="both"/>
              <w:rPr>
                <w:rFonts w:ascii="Aptos" w:hAnsi="Aptos"/>
                <w:szCs w:val="20"/>
              </w:rPr>
            </w:pPr>
            <w:r w:rsidRPr="009E1F57">
              <w:rPr>
                <w:rFonts w:ascii="Aptos" w:hAnsi="Aptos"/>
                <w:color w:val="262626"/>
                <w:szCs w:val="20"/>
              </w:rPr>
              <w:t xml:space="preserve">to 4 hours </w:t>
            </w:r>
          </w:p>
        </w:tc>
      </w:tr>
      <w:tr w:rsidR="00170070" w:rsidRPr="009E1F57" w14:paraId="7D790F19" w14:textId="77777777" w:rsidTr="009E1F57">
        <w:trPr>
          <w:trHeight w:val="230"/>
        </w:trPr>
        <w:tc>
          <w:tcPr>
            <w:tcW w:w="3257" w:type="dxa"/>
            <w:tcBorders>
              <w:top w:val="single" w:sz="4" w:space="0" w:color="000000"/>
              <w:left w:val="single" w:sz="4" w:space="0" w:color="000000"/>
              <w:bottom w:val="single" w:sz="4" w:space="0" w:color="000000"/>
              <w:right w:val="single" w:sz="4" w:space="0" w:color="000000"/>
            </w:tcBorders>
          </w:tcPr>
          <w:p w14:paraId="6F32E8B9" w14:textId="77777777" w:rsidR="00170070" w:rsidRPr="009E1F57" w:rsidRDefault="00000000" w:rsidP="009E1F57">
            <w:pPr>
              <w:spacing w:after="0" w:line="240" w:lineRule="auto"/>
              <w:jc w:val="both"/>
              <w:rPr>
                <w:rFonts w:ascii="Aptos" w:hAnsi="Aptos"/>
                <w:szCs w:val="20"/>
              </w:rPr>
            </w:pPr>
            <w:r w:rsidRPr="009E1F57">
              <w:rPr>
                <w:rFonts w:ascii="Aptos" w:hAnsi="Aptos"/>
                <w:color w:val="262626"/>
                <w:szCs w:val="20"/>
              </w:rPr>
              <w:t xml:space="preserve">Recoat time </w:t>
            </w:r>
          </w:p>
        </w:tc>
        <w:tc>
          <w:tcPr>
            <w:tcW w:w="5500" w:type="dxa"/>
            <w:tcBorders>
              <w:top w:val="single" w:sz="4" w:space="0" w:color="000000"/>
              <w:left w:val="single" w:sz="4" w:space="0" w:color="000000"/>
              <w:bottom w:val="single" w:sz="4" w:space="0" w:color="000000"/>
              <w:right w:val="single" w:sz="4" w:space="0" w:color="000000"/>
            </w:tcBorders>
          </w:tcPr>
          <w:p w14:paraId="0F16EC6F" w14:textId="77777777" w:rsidR="00170070" w:rsidRPr="009E1F57" w:rsidRDefault="00000000" w:rsidP="009E1F57">
            <w:pPr>
              <w:spacing w:after="0" w:line="240" w:lineRule="auto"/>
              <w:jc w:val="both"/>
              <w:rPr>
                <w:rFonts w:ascii="Aptos" w:hAnsi="Aptos"/>
                <w:szCs w:val="20"/>
              </w:rPr>
            </w:pPr>
            <w:r w:rsidRPr="009E1F57">
              <w:rPr>
                <w:rFonts w:ascii="Aptos" w:hAnsi="Aptos"/>
                <w:color w:val="262626"/>
                <w:szCs w:val="20"/>
              </w:rPr>
              <w:t xml:space="preserve">to 8 hours </w:t>
            </w:r>
          </w:p>
        </w:tc>
      </w:tr>
      <w:tr w:rsidR="00170070" w:rsidRPr="009E1F57" w14:paraId="30B4350C" w14:textId="77777777" w:rsidTr="009E1F57">
        <w:trPr>
          <w:trHeight w:val="230"/>
        </w:trPr>
        <w:tc>
          <w:tcPr>
            <w:tcW w:w="3257" w:type="dxa"/>
            <w:tcBorders>
              <w:top w:val="single" w:sz="4" w:space="0" w:color="000000"/>
              <w:left w:val="single" w:sz="4" w:space="0" w:color="000000"/>
              <w:bottom w:val="single" w:sz="4" w:space="0" w:color="000000"/>
              <w:right w:val="single" w:sz="4" w:space="0" w:color="000000"/>
            </w:tcBorders>
          </w:tcPr>
          <w:p w14:paraId="28453BCD" w14:textId="77777777" w:rsidR="00170070" w:rsidRPr="009E1F57" w:rsidRDefault="00000000" w:rsidP="009E1F57">
            <w:pPr>
              <w:spacing w:after="0" w:line="240" w:lineRule="auto"/>
              <w:jc w:val="both"/>
              <w:rPr>
                <w:rFonts w:ascii="Aptos" w:hAnsi="Aptos"/>
                <w:szCs w:val="20"/>
              </w:rPr>
            </w:pPr>
            <w:r w:rsidRPr="009E1F57">
              <w:rPr>
                <w:rFonts w:ascii="Aptos" w:hAnsi="Aptos"/>
                <w:color w:val="262626"/>
                <w:szCs w:val="20"/>
              </w:rPr>
              <w:t xml:space="preserve">Full cure </w:t>
            </w:r>
          </w:p>
        </w:tc>
        <w:tc>
          <w:tcPr>
            <w:tcW w:w="5500" w:type="dxa"/>
            <w:tcBorders>
              <w:top w:val="single" w:sz="4" w:space="0" w:color="000000"/>
              <w:left w:val="single" w:sz="4" w:space="0" w:color="000000"/>
              <w:bottom w:val="single" w:sz="4" w:space="0" w:color="000000"/>
              <w:right w:val="single" w:sz="4" w:space="0" w:color="000000"/>
            </w:tcBorders>
          </w:tcPr>
          <w:p w14:paraId="0313FBEC" w14:textId="77777777" w:rsidR="00170070" w:rsidRPr="009E1F57" w:rsidRDefault="00000000" w:rsidP="009E1F57">
            <w:pPr>
              <w:spacing w:after="0" w:line="240" w:lineRule="auto"/>
              <w:jc w:val="both"/>
              <w:rPr>
                <w:rFonts w:ascii="Aptos" w:hAnsi="Aptos"/>
                <w:szCs w:val="20"/>
              </w:rPr>
            </w:pPr>
            <w:r w:rsidRPr="009E1F57">
              <w:rPr>
                <w:rFonts w:ascii="Aptos" w:hAnsi="Aptos"/>
                <w:color w:val="262626"/>
                <w:szCs w:val="20"/>
              </w:rPr>
              <w:t xml:space="preserve">days </w:t>
            </w:r>
          </w:p>
        </w:tc>
      </w:tr>
    </w:tbl>
    <w:p w14:paraId="0C63DC90" w14:textId="77777777" w:rsidR="00170070" w:rsidRPr="009E1F57" w:rsidRDefault="00000000" w:rsidP="009E1F57">
      <w:pPr>
        <w:spacing w:after="0" w:line="240" w:lineRule="auto"/>
        <w:ind w:left="10"/>
        <w:jc w:val="both"/>
        <w:rPr>
          <w:rFonts w:ascii="Aptos" w:hAnsi="Aptos"/>
          <w:sz w:val="22"/>
        </w:rPr>
      </w:pPr>
      <w:r w:rsidRPr="009E1F57">
        <w:rPr>
          <w:rFonts w:ascii="Aptos" w:hAnsi="Aptos"/>
          <w:noProof/>
          <w:sz w:val="22"/>
        </w:rPr>
        <w:drawing>
          <wp:anchor distT="0" distB="0" distL="114300" distR="114300" simplePos="0" relativeHeight="251662336" behindDoc="0" locked="0" layoutInCell="1" allowOverlap="0" wp14:anchorId="477AC95A" wp14:editId="2A44A92C">
            <wp:simplePos x="0" y="0"/>
            <wp:positionH relativeFrom="margin">
              <wp:align>left</wp:align>
            </wp:positionH>
            <wp:positionV relativeFrom="paragraph">
              <wp:posOffset>8890</wp:posOffset>
            </wp:positionV>
            <wp:extent cx="785482" cy="7437120"/>
            <wp:effectExtent l="0" t="0" r="0" b="0"/>
            <wp:wrapSquare wrapText="bothSides"/>
            <wp:docPr id="536" name="Pictu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5"/>
                    <a:stretch>
                      <a:fillRect/>
                    </a:stretch>
                  </pic:blipFill>
                  <pic:spPr>
                    <a:xfrm>
                      <a:off x="0" y="0"/>
                      <a:ext cx="785482" cy="7437120"/>
                    </a:xfrm>
                    <a:prstGeom prst="rect">
                      <a:avLst/>
                    </a:prstGeom>
                  </pic:spPr>
                </pic:pic>
              </a:graphicData>
            </a:graphic>
          </wp:anchor>
        </w:drawing>
      </w:r>
      <w:r w:rsidRPr="009E1F57">
        <w:rPr>
          <w:rFonts w:ascii="Aptos" w:hAnsi="Aptos"/>
          <w:sz w:val="22"/>
        </w:rPr>
        <w:t xml:space="preserve">Precautions </w:t>
      </w:r>
    </w:p>
    <w:p w14:paraId="6E114A90"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SPR Acrylic is not suitable for using over floors.  If applying over painted surfaces (contact your nearest Novatex office for correct application).  Do not apply in temperatures below 5°C or above 35°C or application in extreme conditions such as high wind, direct sunlight, rain and water runoff. </w:t>
      </w:r>
    </w:p>
    <w:p w14:paraId="286676BE"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7DE61762" w14:textId="77777777" w:rsidR="00170070" w:rsidRPr="009E1F57" w:rsidRDefault="00000000" w:rsidP="009E1F57">
      <w:pPr>
        <w:spacing w:after="0" w:line="240" w:lineRule="auto"/>
        <w:ind w:left="10"/>
        <w:jc w:val="both"/>
        <w:rPr>
          <w:rFonts w:ascii="Aptos" w:hAnsi="Aptos"/>
          <w:sz w:val="22"/>
        </w:rPr>
      </w:pPr>
      <w:r w:rsidRPr="009E1F57">
        <w:rPr>
          <w:rFonts w:ascii="Aptos" w:hAnsi="Aptos"/>
          <w:sz w:val="22"/>
        </w:rPr>
        <w:t xml:space="preserve">Health and Safety </w:t>
      </w:r>
    </w:p>
    <w:p w14:paraId="7F1C0BED"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The powder can be irritable; Paper dust protection masks must be worn while product is being mixed.  The wet compound is alkaline and prolonged skin contact should be avoided. </w:t>
      </w:r>
    </w:p>
    <w:p w14:paraId="720270B7"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62AB12CA" w14:textId="77777777" w:rsidR="00170070" w:rsidRPr="009E1F57" w:rsidRDefault="00000000" w:rsidP="009E1F57">
      <w:pPr>
        <w:spacing w:after="0" w:line="240" w:lineRule="auto"/>
        <w:ind w:left="10"/>
        <w:jc w:val="both"/>
        <w:rPr>
          <w:rFonts w:ascii="Aptos" w:hAnsi="Aptos"/>
          <w:sz w:val="22"/>
        </w:rPr>
      </w:pPr>
      <w:r w:rsidRPr="009E1F57">
        <w:rPr>
          <w:rFonts w:ascii="Aptos" w:hAnsi="Aptos"/>
          <w:sz w:val="22"/>
        </w:rPr>
        <w:t xml:space="preserve">Disclaimer </w:t>
      </w:r>
    </w:p>
    <w:p w14:paraId="57FCC864"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Please note:  Recommendations and advice regarding the use of this product are to be taken as a guide only.  Novatex shall not be liable for any inaccuracy in the information given or for any loss, injury or damage whatsoever resulting from its use.  To the full extent permitted by law, Novatex Products liability is limited to its discretion, to replacement of goods or the supply of equivalent goods.  For applications/ situations not mentioned on this packaging, please contact your nearest Novatex office. </w:t>
      </w:r>
    </w:p>
    <w:p w14:paraId="17A08B95" w14:textId="77777777" w:rsidR="00170070" w:rsidRPr="009E1F57" w:rsidRDefault="00000000" w:rsidP="009E1F57">
      <w:pPr>
        <w:spacing w:after="0" w:line="240" w:lineRule="auto"/>
        <w:ind w:left="10"/>
        <w:jc w:val="both"/>
        <w:rPr>
          <w:rFonts w:ascii="Aptos" w:hAnsi="Aptos"/>
          <w:sz w:val="22"/>
        </w:rPr>
      </w:pPr>
      <w:r w:rsidRPr="009E1F57">
        <w:rPr>
          <w:rFonts w:ascii="Aptos" w:hAnsi="Aptos"/>
          <w:sz w:val="22"/>
        </w:rPr>
        <w:t xml:space="preserve"> </w:t>
      </w:r>
    </w:p>
    <w:p w14:paraId="05179226" w14:textId="77777777" w:rsidR="00170070" w:rsidRPr="009E1F57" w:rsidRDefault="00000000" w:rsidP="009E1F57">
      <w:pPr>
        <w:spacing w:after="0" w:line="240" w:lineRule="auto"/>
        <w:ind w:left="10"/>
        <w:jc w:val="both"/>
        <w:rPr>
          <w:rFonts w:ascii="Aptos" w:hAnsi="Aptos"/>
          <w:sz w:val="22"/>
        </w:rPr>
      </w:pPr>
      <w:r w:rsidRPr="009E1F57">
        <w:rPr>
          <w:rFonts w:ascii="Aptos" w:hAnsi="Aptos"/>
          <w:color w:val="262626"/>
          <w:sz w:val="22"/>
        </w:rPr>
        <w:t xml:space="preserve">Technical Data </w:t>
      </w:r>
    </w:p>
    <w:p w14:paraId="744E6610" w14:textId="77777777" w:rsidR="00170070" w:rsidRPr="009E1F57" w:rsidRDefault="00000000" w:rsidP="009E1F57">
      <w:pPr>
        <w:spacing w:after="0" w:line="240" w:lineRule="auto"/>
        <w:ind w:left="10"/>
        <w:jc w:val="both"/>
        <w:rPr>
          <w:rFonts w:ascii="Aptos" w:hAnsi="Aptos"/>
          <w:szCs w:val="20"/>
        </w:rPr>
      </w:pPr>
      <w:r w:rsidRPr="009E1F57">
        <w:rPr>
          <w:rFonts w:ascii="Aptos" w:hAnsi="Aptos"/>
          <w:szCs w:val="20"/>
        </w:rPr>
        <w:t xml:space="preserve"> </w:t>
      </w:r>
    </w:p>
    <w:p w14:paraId="7EAE5EBB" w14:textId="77777777" w:rsidR="00170070" w:rsidRPr="009E1F57" w:rsidRDefault="00000000" w:rsidP="009E1F57">
      <w:pPr>
        <w:spacing w:after="0" w:line="240" w:lineRule="auto"/>
        <w:ind w:left="10"/>
        <w:jc w:val="both"/>
        <w:rPr>
          <w:rFonts w:ascii="Aptos" w:hAnsi="Aptos"/>
          <w:szCs w:val="20"/>
        </w:rPr>
      </w:pPr>
      <w:r w:rsidRPr="009E1F57">
        <w:rPr>
          <w:rFonts w:ascii="Aptos" w:eastAsia="Times New Roman" w:hAnsi="Aptos" w:cs="Times New Roman"/>
          <w:szCs w:val="20"/>
        </w:rPr>
        <w:t xml:space="preserve"> </w:t>
      </w:r>
    </w:p>
    <w:p w14:paraId="5CB5B325" w14:textId="46AB7898" w:rsidR="00170070" w:rsidRPr="009E1F57" w:rsidRDefault="009E1F57" w:rsidP="009E1F57">
      <w:pPr>
        <w:spacing w:after="0" w:line="240" w:lineRule="auto"/>
        <w:jc w:val="both"/>
        <w:rPr>
          <w:rFonts w:ascii="Aptos" w:hAnsi="Aptos"/>
          <w:szCs w:val="20"/>
        </w:rPr>
      </w:pPr>
      <w:r>
        <w:rPr>
          <w:rFonts w:ascii="Aptos" w:hAnsi="Aptos"/>
          <w:noProof/>
          <w:szCs w:val="20"/>
        </w:rPr>
        <w:drawing>
          <wp:anchor distT="0" distB="0" distL="114300" distR="114300" simplePos="0" relativeHeight="251667456" behindDoc="0" locked="0" layoutInCell="1" allowOverlap="1" wp14:anchorId="21FCDA80" wp14:editId="3B3E3337">
            <wp:simplePos x="0" y="0"/>
            <wp:positionH relativeFrom="margin">
              <wp:align>right</wp:align>
            </wp:positionH>
            <wp:positionV relativeFrom="paragraph">
              <wp:posOffset>4046855</wp:posOffset>
            </wp:positionV>
            <wp:extent cx="6648450" cy="847725"/>
            <wp:effectExtent l="0" t="0" r="0" b="9525"/>
            <wp:wrapSquare wrapText="bothSides"/>
            <wp:docPr id="886448775" name="Picture 88644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r w:rsidR="00000000" w:rsidRPr="009E1F57">
        <w:rPr>
          <w:rFonts w:ascii="Aptos" w:eastAsia="Times New Roman" w:hAnsi="Aptos" w:cs="Times New Roman"/>
          <w:szCs w:val="20"/>
        </w:rPr>
        <w:t xml:space="preserve"> </w:t>
      </w:r>
    </w:p>
    <w:sectPr w:rsidR="00170070" w:rsidRPr="009E1F57" w:rsidSect="009E1F57">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E9E"/>
    <w:multiLevelType w:val="hybridMultilevel"/>
    <w:tmpl w:val="8FB6CB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484D97"/>
    <w:multiLevelType w:val="hybridMultilevel"/>
    <w:tmpl w:val="A1D4E8B6"/>
    <w:lvl w:ilvl="0" w:tplc="1FC8A25C">
      <w:start w:val="1"/>
      <w:numFmt w:val="bullet"/>
      <w:lvlText w:val="o"/>
      <w:lvlJc w:val="left"/>
      <w:pPr>
        <w:ind w:left="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2E446C8E">
      <w:start w:val="1"/>
      <w:numFmt w:val="bullet"/>
      <w:lvlText w:val="o"/>
      <w:lvlJc w:val="left"/>
      <w:pPr>
        <w:ind w:left="26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1F266DAA">
      <w:start w:val="1"/>
      <w:numFmt w:val="bullet"/>
      <w:lvlText w:val="▪"/>
      <w:lvlJc w:val="left"/>
      <w:pPr>
        <w:ind w:left="338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813C5AE6">
      <w:start w:val="1"/>
      <w:numFmt w:val="bullet"/>
      <w:lvlText w:val="•"/>
      <w:lvlJc w:val="left"/>
      <w:pPr>
        <w:ind w:left="410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AF829F88">
      <w:start w:val="1"/>
      <w:numFmt w:val="bullet"/>
      <w:lvlText w:val="o"/>
      <w:lvlJc w:val="left"/>
      <w:pPr>
        <w:ind w:left="482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96F6C9BE">
      <w:start w:val="1"/>
      <w:numFmt w:val="bullet"/>
      <w:lvlText w:val="▪"/>
      <w:lvlJc w:val="left"/>
      <w:pPr>
        <w:ind w:left="554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FE8CCAEA">
      <w:start w:val="1"/>
      <w:numFmt w:val="bullet"/>
      <w:lvlText w:val="•"/>
      <w:lvlJc w:val="left"/>
      <w:pPr>
        <w:ind w:left="62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F7309A4A">
      <w:start w:val="1"/>
      <w:numFmt w:val="bullet"/>
      <w:lvlText w:val="o"/>
      <w:lvlJc w:val="left"/>
      <w:pPr>
        <w:ind w:left="698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91340100">
      <w:start w:val="1"/>
      <w:numFmt w:val="bullet"/>
      <w:lvlText w:val="▪"/>
      <w:lvlJc w:val="left"/>
      <w:pPr>
        <w:ind w:left="770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num w:numId="1" w16cid:durableId="76099865">
    <w:abstractNumId w:val="1"/>
  </w:num>
  <w:num w:numId="2" w16cid:durableId="1264264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70"/>
    <w:rsid w:val="00170070"/>
    <w:rsid w:val="009E1F57"/>
    <w:rsid w:val="00E60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1AA4"/>
  <w15:docId w15:val="{66BFFF0D-008C-41FA-A67D-F21663B0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224" w:right="518"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448" w:hanging="10"/>
      <w:outlineLvl w:val="0"/>
    </w:pPr>
    <w:rPr>
      <w:rFonts w:ascii="Cambria" w:eastAsia="Cambria" w:hAnsi="Cambria" w:cs="Cambria"/>
      <w:b/>
      <w:color w:val="FFC000"/>
      <w:sz w:val="72"/>
    </w:rPr>
  </w:style>
  <w:style w:type="paragraph" w:styleId="Heading2">
    <w:name w:val="heading 2"/>
    <w:next w:val="Normal"/>
    <w:link w:val="Heading2Char"/>
    <w:uiPriority w:val="9"/>
    <w:unhideWhenUsed/>
    <w:qFormat/>
    <w:pPr>
      <w:keepNext/>
      <w:keepLines/>
      <w:spacing w:after="121"/>
      <w:ind w:left="1448" w:hanging="10"/>
      <w:outlineLvl w:val="1"/>
    </w:pPr>
    <w:rPr>
      <w:rFonts w:ascii="Cambria" w:eastAsia="Cambria" w:hAnsi="Cambria" w:cs="Cambria"/>
      <w:b/>
      <w:color w:val="000000"/>
      <w:sz w:val="24"/>
    </w:rPr>
  </w:style>
  <w:style w:type="paragraph" w:styleId="Heading3">
    <w:name w:val="heading 3"/>
    <w:next w:val="Normal"/>
    <w:link w:val="Heading3Char"/>
    <w:uiPriority w:val="9"/>
    <w:unhideWhenUsed/>
    <w:qFormat/>
    <w:pPr>
      <w:keepNext/>
      <w:keepLines/>
      <w:spacing w:after="0"/>
      <w:ind w:left="224"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371"/>
      <w:ind w:left="10" w:hanging="10"/>
      <w:outlineLvl w:val="3"/>
    </w:pPr>
    <w:rPr>
      <w:rFonts w:ascii="Calibri" w:eastAsia="Calibri" w:hAnsi="Calibri" w:cs="Calibri"/>
      <w:b/>
      <w:i/>
      <w:color w:val="0000FF"/>
      <w:sz w:val="1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i/>
      <w:color w:val="0000FF"/>
      <w:sz w:val="16"/>
      <w:u w:val="single" w:color="0000FF"/>
    </w:rPr>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mbria" w:eastAsia="Cambria" w:hAnsi="Cambria" w:cs="Cambria"/>
      <w:b/>
      <w:color w:val="000000"/>
      <w:sz w:val="24"/>
    </w:rPr>
  </w:style>
  <w:style w:type="character" w:customStyle="1" w:styleId="Heading1Char">
    <w:name w:val="Heading 1 Char"/>
    <w:link w:val="Heading1"/>
    <w:rPr>
      <w:rFonts w:ascii="Cambria" w:eastAsia="Cambria" w:hAnsi="Cambria" w:cs="Cambria"/>
      <w:b/>
      <w:color w:val="FFC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E1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2023-12-19T04:06:00Z</dcterms:created>
  <dcterms:modified xsi:type="dcterms:W3CDTF">2023-12-19T04:06:00Z</dcterms:modified>
</cp:coreProperties>
</file>